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72A6659" w14:textId="77777777" w:rsidR="00620868" w:rsidRDefault="0042478B">
      <w:pPr>
        <w:spacing w:before="120" w:after="120"/>
        <w:jc w:val="center"/>
      </w:pPr>
      <w:r>
        <w:rPr>
          <w:noProof/>
        </w:rPr>
        <w:drawing>
          <wp:inline distT="0" distB="0" distL="0" distR="0" wp14:anchorId="13AEDDDF" wp14:editId="44791CEA">
            <wp:extent cx="4029075" cy="657225"/>
            <wp:effectExtent l="0" t="0" r="0" b="0"/>
            <wp:docPr id="1" name="Drawing 0" descr="df9c4be7e9aed40f05eea156ae0b3c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rawing 0"/>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029075" cy="657225"/>
                    </a:xfrm>
                    <a:prstGeom prst="rect">
                      <a:avLst/>
                    </a:prstGeom>
                  </pic:spPr>
                </pic:pic>
              </a:graphicData>
            </a:graphic>
          </wp:inline>
        </w:drawing>
      </w:r>
    </w:p>
    <w:p w14:paraId="40BCA394" w14:textId="65B2FCAA" w:rsidR="00E90E94" w:rsidRDefault="00E90E94" w:rsidP="00E90E94">
      <w:pPr>
        <w:spacing w:after="0" w:line="336" w:lineRule="auto"/>
        <w:jc w:val="center"/>
        <w:rPr>
          <w:i/>
          <w:iCs/>
          <w:color w:val="000000" w:themeColor="text1"/>
        </w:rPr>
      </w:pPr>
      <w:r w:rsidRPr="0229CC4E">
        <w:rPr>
          <w:i/>
          <w:iCs/>
          <w:color w:val="000000" w:themeColor="text1"/>
        </w:rPr>
        <w:t xml:space="preserve">Afin d’aborder la notion d’esprit critique, il est nécessaire d’être sensibilisé à </w:t>
      </w:r>
      <w:r>
        <w:rPr>
          <w:i/>
          <w:iCs/>
          <w:color w:val="000000" w:themeColor="text1"/>
        </w:rPr>
        <w:t xml:space="preserve">quelques </w:t>
      </w:r>
      <w:r w:rsidRPr="0229CC4E">
        <w:rPr>
          <w:i/>
          <w:iCs/>
          <w:color w:val="000000" w:themeColor="text1"/>
        </w:rPr>
        <w:t xml:space="preserve">notions qui aideront à apporter de la nuance </w:t>
      </w:r>
      <w:r>
        <w:rPr>
          <w:i/>
          <w:iCs/>
          <w:color w:val="000000" w:themeColor="text1"/>
        </w:rPr>
        <w:t>dans nos propos afin d’accompagner au mieux les élèves à faire preuve de</w:t>
      </w:r>
      <w:r w:rsidRPr="0229CC4E">
        <w:rPr>
          <w:i/>
          <w:iCs/>
          <w:color w:val="000000" w:themeColor="text1"/>
        </w:rPr>
        <w:t xml:space="preserve"> discernement</w:t>
      </w:r>
      <w:r>
        <w:rPr>
          <w:i/>
          <w:iCs/>
          <w:color w:val="000000" w:themeColor="text1"/>
        </w:rPr>
        <w:t>. Nous proposons ici quelques définitions de termes de vocabulaire fréquemment employés qu’il est utile de définir et nous présentons une liste restreinte de quelques biais cognitifs.</w:t>
      </w:r>
    </w:p>
    <w:p w14:paraId="076E449E" w14:textId="144FB97D" w:rsidR="00E90E94" w:rsidRPr="0042478B" w:rsidRDefault="00E90E94" w:rsidP="00E90E94">
      <w:pPr>
        <w:spacing w:after="0" w:line="336" w:lineRule="auto"/>
        <w:jc w:val="center"/>
        <w:rPr>
          <w:b/>
          <w:bCs/>
          <w:color w:val="000000"/>
        </w:rPr>
      </w:pPr>
      <w:r>
        <w:rPr>
          <w:i/>
          <w:iCs/>
          <w:color w:val="000000" w:themeColor="text1"/>
        </w:rPr>
        <w:t>En effet, il est important, pour les élèves et les professeurs, d’avoir une compréhension plus fine</w:t>
      </w:r>
      <w:r w:rsidRPr="0229CC4E">
        <w:rPr>
          <w:i/>
          <w:iCs/>
          <w:color w:val="000000" w:themeColor="text1"/>
        </w:rPr>
        <w:t xml:space="preserve"> du fonctionnement de notre cerveau qui nous joue parfois des tours.</w:t>
      </w:r>
      <w:r w:rsidRPr="0229CC4E">
        <w:rPr>
          <w:b/>
          <w:bCs/>
          <w:color w:val="000000" w:themeColor="text1"/>
        </w:rPr>
        <w:t xml:space="preserve"> </w:t>
      </w:r>
    </w:p>
    <w:p w14:paraId="53C46ED7" w14:textId="77777777" w:rsidR="009618AE" w:rsidRPr="00E90E94" w:rsidRDefault="009618AE" w:rsidP="0229CC4E">
      <w:pPr>
        <w:spacing w:after="0" w:line="240" w:lineRule="auto"/>
        <w:jc w:val="center"/>
        <w:rPr>
          <w:b/>
          <w:bCs/>
          <w:color w:val="000000"/>
          <w:sz w:val="14"/>
        </w:rPr>
      </w:pPr>
    </w:p>
    <w:p w14:paraId="2C43AE97" w14:textId="77777777" w:rsidR="00620868" w:rsidRDefault="0042478B" w:rsidP="009C3981">
      <w:pPr>
        <w:pStyle w:val="Titre1"/>
        <w:keepNext w:val="0"/>
        <w:keepLines w:val="0"/>
        <w:spacing w:before="0" w:line="240" w:lineRule="auto"/>
        <w:jc w:val="center"/>
        <w:rPr>
          <w:rFonts w:asciiTheme="minorHAnsi" w:eastAsiaTheme="minorEastAsia" w:hAnsiTheme="minorHAnsi" w:cstheme="minorBidi"/>
          <w:b/>
          <w:bCs/>
          <w:color w:val="000000" w:themeColor="text1"/>
          <w:sz w:val="28"/>
          <w:szCs w:val="28"/>
        </w:rPr>
      </w:pPr>
      <w:r>
        <w:t>LEXIQUE</w:t>
      </w:r>
    </w:p>
    <w:p w14:paraId="5998059F" w14:textId="464A3D99" w:rsidR="0229CC4E" w:rsidRPr="00E90E94" w:rsidRDefault="0229CC4E" w:rsidP="0229CC4E">
      <w:pPr>
        <w:rPr>
          <w:sz w:val="6"/>
        </w:rPr>
      </w:pPr>
    </w:p>
    <w:p w14:paraId="260BC948" w14:textId="3E58685E" w:rsidR="00620868" w:rsidRDefault="0042478B" w:rsidP="0229CC4E">
      <w:pPr>
        <w:spacing w:after="0" w:line="240" w:lineRule="auto"/>
        <w:jc w:val="both"/>
        <w:rPr>
          <w:color w:val="000000"/>
        </w:rPr>
      </w:pPr>
      <w:r w:rsidRPr="0229CC4E">
        <w:rPr>
          <w:b/>
          <w:bCs/>
          <w:i/>
          <w:iCs/>
          <w:color w:val="000000" w:themeColor="text1"/>
        </w:rPr>
        <w:t>Préambule :</w:t>
      </w:r>
      <w:r w:rsidRPr="0229CC4E">
        <w:rPr>
          <w:b/>
          <w:bCs/>
          <w:color w:val="000000" w:themeColor="text1"/>
        </w:rPr>
        <w:t xml:space="preserve"> </w:t>
      </w:r>
      <w:r w:rsidRPr="0229CC4E">
        <w:rPr>
          <w:i/>
          <w:iCs/>
          <w:color w:val="000000" w:themeColor="text1"/>
        </w:rPr>
        <w:t>la croyance est différente de la connaissance</w:t>
      </w:r>
      <w:r w:rsidR="00E90E94">
        <w:rPr>
          <w:i/>
          <w:iCs/>
          <w:color w:val="000000" w:themeColor="text1"/>
        </w:rPr>
        <w:t xml:space="preserve"> et</w:t>
      </w:r>
      <w:r w:rsidRPr="0229CC4E">
        <w:rPr>
          <w:i/>
          <w:iCs/>
          <w:color w:val="000000" w:themeColor="text1"/>
        </w:rPr>
        <w:t xml:space="preserve"> de la raison. Dans la sphère privée, la croyance peut dominer et régir les règles de vie mais dans l'espace public, c'est le savoir qui est la règle pour les échanges. Il faut apprendre à avoir tort</w:t>
      </w:r>
      <w:r w:rsidR="0F6E4C27" w:rsidRPr="0229CC4E">
        <w:rPr>
          <w:i/>
          <w:iCs/>
          <w:color w:val="000000" w:themeColor="text1"/>
        </w:rPr>
        <w:t>,</w:t>
      </w:r>
      <w:r w:rsidRPr="0229CC4E">
        <w:rPr>
          <w:i/>
          <w:iCs/>
          <w:color w:val="000000" w:themeColor="text1"/>
        </w:rPr>
        <w:t xml:space="preserve"> cela fait de nous des citoyens car on accepte les règles de l’échange dès le début : ce n'est pas un conflit et on peut se tromper. La critique des idées n'est pas la critique des personnes.</w:t>
      </w:r>
      <w:r w:rsidRPr="0229CC4E">
        <w:rPr>
          <w:color w:val="000000" w:themeColor="text1"/>
        </w:rPr>
        <w:t xml:space="preserve">  </w:t>
      </w:r>
    </w:p>
    <w:p w14:paraId="02EB378F" w14:textId="77777777" w:rsidR="0042478B" w:rsidRPr="009C3981" w:rsidRDefault="0042478B" w:rsidP="0229CC4E">
      <w:pPr>
        <w:spacing w:after="0" w:line="240" w:lineRule="auto"/>
        <w:rPr>
          <w:sz w:val="20"/>
        </w:rPr>
      </w:pPr>
    </w:p>
    <w:p w14:paraId="61722A31" w14:textId="77777777" w:rsidR="00620868" w:rsidRDefault="0042478B" w:rsidP="00E90E94">
      <w:pPr>
        <w:numPr>
          <w:ilvl w:val="0"/>
          <w:numId w:val="1"/>
        </w:numPr>
        <w:spacing w:after="0" w:line="305" w:lineRule="auto"/>
        <w:jc w:val="both"/>
        <w:rPr>
          <w:color w:val="000000" w:themeColor="text1"/>
        </w:rPr>
      </w:pPr>
      <w:r w:rsidRPr="0229CC4E">
        <w:rPr>
          <w:color w:val="000000" w:themeColor="text1"/>
        </w:rPr>
        <w:t xml:space="preserve">Croyance : proposition que l’on considère vraie sans l’avoir prouvée. Ne peut pas être contredite.  </w:t>
      </w:r>
    </w:p>
    <w:p w14:paraId="1DE85E41" w14:textId="030D6166" w:rsidR="2C2C1D87" w:rsidRPr="009C3981" w:rsidRDefault="2C2C1D87" w:rsidP="00E90E94">
      <w:pPr>
        <w:spacing w:after="0" w:line="305" w:lineRule="auto"/>
        <w:jc w:val="both"/>
        <w:rPr>
          <w:color w:val="000000" w:themeColor="text1"/>
          <w:sz w:val="16"/>
        </w:rPr>
      </w:pPr>
    </w:p>
    <w:p w14:paraId="7C3B4158" w14:textId="3F7B9189" w:rsidR="00620868" w:rsidRDefault="0042478B" w:rsidP="00E90E94">
      <w:pPr>
        <w:numPr>
          <w:ilvl w:val="0"/>
          <w:numId w:val="1"/>
        </w:numPr>
        <w:spacing w:after="0" w:line="288" w:lineRule="auto"/>
        <w:jc w:val="both"/>
        <w:rPr>
          <w:color w:val="000000" w:themeColor="text1"/>
        </w:rPr>
      </w:pPr>
      <w:r w:rsidRPr="0229CC4E">
        <w:rPr>
          <w:color w:val="000000" w:themeColor="text1"/>
        </w:rPr>
        <w:t xml:space="preserve">Opinion : c'est </w:t>
      </w:r>
      <w:r w:rsidR="00E90E94">
        <w:rPr>
          <w:color w:val="000000" w:themeColor="text1"/>
        </w:rPr>
        <w:t xml:space="preserve">quelque chose de </w:t>
      </w:r>
      <w:r w:rsidRPr="0229CC4E">
        <w:rPr>
          <w:color w:val="000000" w:themeColor="text1"/>
        </w:rPr>
        <w:t>personnel</w:t>
      </w:r>
      <w:r w:rsidR="00E90E94">
        <w:rPr>
          <w:color w:val="000000" w:themeColor="text1"/>
        </w:rPr>
        <w:t>, d’individuel</w:t>
      </w:r>
      <w:r w:rsidRPr="0229CC4E">
        <w:rPr>
          <w:color w:val="000000" w:themeColor="text1"/>
        </w:rPr>
        <w:t xml:space="preserve">. </w:t>
      </w:r>
      <w:r w:rsidR="009C3981">
        <w:rPr>
          <w:color w:val="000000" w:themeColor="text1"/>
        </w:rPr>
        <w:t xml:space="preserve">Une opinion se construit en </w:t>
      </w:r>
      <w:r w:rsidRPr="0229CC4E">
        <w:rPr>
          <w:color w:val="000000" w:themeColor="text1"/>
        </w:rPr>
        <w:t>mélange</w:t>
      </w:r>
      <w:r w:rsidR="009C3981">
        <w:rPr>
          <w:color w:val="000000" w:themeColor="text1"/>
        </w:rPr>
        <w:t>ant</w:t>
      </w:r>
      <w:r w:rsidRPr="0229CC4E">
        <w:rPr>
          <w:color w:val="000000" w:themeColor="text1"/>
        </w:rPr>
        <w:t xml:space="preserve"> notre </w:t>
      </w:r>
      <w:r w:rsidR="009C3981">
        <w:rPr>
          <w:color w:val="000000" w:themeColor="text1"/>
        </w:rPr>
        <w:t xml:space="preserve">propre </w:t>
      </w:r>
      <w:r w:rsidRPr="0229CC4E">
        <w:rPr>
          <w:color w:val="000000" w:themeColor="text1"/>
        </w:rPr>
        <w:t xml:space="preserve">savoir </w:t>
      </w:r>
      <w:r w:rsidR="009C3981">
        <w:rPr>
          <w:color w:val="000000" w:themeColor="text1"/>
        </w:rPr>
        <w:t>(</w:t>
      </w:r>
      <w:r w:rsidRPr="0229CC4E">
        <w:rPr>
          <w:color w:val="000000" w:themeColor="text1"/>
        </w:rPr>
        <w:t>que l'on peut justifier soi-même</w:t>
      </w:r>
      <w:r w:rsidR="009C3981">
        <w:rPr>
          <w:color w:val="000000" w:themeColor="text1"/>
        </w:rPr>
        <w:t>)</w:t>
      </w:r>
      <w:r w:rsidRPr="0229CC4E">
        <w:rPr>
          <w:color w:val="000000" w:themeColor="text1"/>
        </w:rPr>
        <w:t xml:space="preserve"> et de</w:t>
      </w:r>
      <w:r w:rsidR="009C3981">
        <w:rPr>
          <w:color w:val="000000" w:themeColor="text1"/>
        </w:rPr>
        <w:t>s</w:t>
      </w:r>
      <w:r w:rsidRPr="0229CC4E">
        <w:rPr>
          <w:color w:val="000000" w:themeColor="text1"/>
        </w:rPr>
        <w:t xml:space="preserve"> choses qu'on a entendues. </w:t>
      </w:r>
      <w:r w:rsidR="009C3981">
        <w:rPr>
          <w:color w:val="000000" w:themeColor="text1"/>
        </w:rPr>
        <w:t>Pour ces dernières,</w:t>
      </w:r>
      <w:r w:rsidRPr="0229CC4E">
        <w:rPr>
          <w:color w:val="000000" w:themeColor="text1"/>
        </w:rPr>
        <w:t xml:space="preserve"> on fait confiance aux autres pour la justification </w:t>
      </w:r>
      <w:r w:rsidR="009C3981">
        <w:rPr>
          <w:color w:val="000000" w:themeColor="text1"/>
        </w:rPr>
        <w:t xml:space="preserve">car </w:t>
      </w:r>
      <w:r w:rsidRPr="0229CC4E">
        <w:rPr>
          <w:color w:val="000000" w:themeColor="text1"/>
        </w:rPr>
        <w:t>on ne sait pas tout sur tous les sujets.</w:t>
      </w:r>
    </w:p>
    <w:p w14:paraId="1B7A9CA4" w14:textId="65331EE8" w:rsidR="00620868" w:rsidRPr="009C3981" w:rsidRDefault="0042478B" w:rsidP="00E90E94">
      <w:pPr>
        <w:spacing w:after="0" w:line="288" w:lineRule="auto"/>
        <w:jc w:val="both"/>
        <w:rPr>
          <w:color w:val="000000" w:themeColor="text1"/>
          <w:sz w:val="16"/>
        </w:rPr>
      </w:pPr>
      <w:r w:rsidRPr="009C3981">
        <w:rPr>
          <w:color w:val="000000" w:themeColor="text1"/>
          <w:sz w:val="16"/>
        </w:rPr>
        <w:t xml:space="preserve">                                                                                </w:t>
      </w:r>
    </w:p>
    <w:p w14:paraId="29C2C16E" w14:textId="00869DDB" w:rsidR="00620868" w:rsidRDefault="0042478B" w:rsidP="00E90E94">
      <w:pPr>
        <w:numPr>
          <w:ilvl w:val="0"/>
          <w:numId w:val="1"/>
        </w:numPr>
        <w:spacing w:after="0" w:line="300" w:lineRule="auto"/>
        <w:jc w:val="both"/>
        <w:rPr>
          <w:color w:val="000000" w:themeColor="text1"/>
        </w:rPr>
      </w:pPr>
      <w:r w:rsidRPr="0229CC4E">
        <w:rPr>
          <w:color w:val="000000" w:themeColor="text1"/>
        </w:rPr>
        <w:t xml:space="preserve">Connaissance scientifique : c’est un savoir collectif et universel basé sur des données obtenues par des instruments fiables et </w:t>
      </w:r>
      <w:r w:rsidR="009C3981">
        <w:rPr>
          <w:color w:val="000000" w:themeColor="text1"/>
        </w:rPr>
        <w:t>à l’aide de</w:t>
      </w:r>
      <w:r w:rsidRPr="0229CC4E">
        <w:rPr>
          <w:color w:val="000000" w:themeColor="text1"/>
        </w:rPr>
        <w:t xml:space="preserve"> méthodes reconnues (</w:t>
      </w:r>
      <w:r w:rsidR="009C3981">
        <w:rPr>
          <w:color w:val="000000" w:themeColor="text1"/>
        </w:rPr>
        <w:t>comme</w:t>
      </w:r>
      <w:r w:rsidRPr="0229CC4E">
        <w:rPr>
          <w:color w:val="000000" w:themeColor="text1"/>
        </w:rPr>
        <w:t xml:space="preserve"> le raisonnement logique)</w:t>
      </w:r>
      <w:r w:rsidR="009C3981">
        <w:rPr>
          <w:color w:val="000000" w:themeColor="text1"/>
        </w:rPr>
        <w:t xml:space="preserve">. Ce savoir est collectif </w:t>
      </w:r>
      <w:r w:rsidRPr="0229CC4E">
        <w:rPr>
          <w:color w:val="000000" w:themeColor="text1"/>
        </w:rPr>
        <w:t>et issu d’une validation par la communauté scientifique. Cette connaissance peut être affinée ou remise en cause par de nouvelles découvertes</w:t>
      </w:r>
      <w:r w:rsidR="009C3981">
        <w:rPr>
          <w:color w:val="000000" w:themeColor="text1"/>
        </w:rPr>
        <w:t xml:space="preserve"> (elle peut être contredite).</w:t>
      </w:r>
    </w:p>
    <w:p w14:paraId="0D0BC6FA" w14:textId="2FA2BEF6" w:rsidR="2C2C1D87" w:rsidRPr="009C3981" w:rsidRDefault="2C2C1D87" w:rsidP="00E90E94">
      <w:pPr>
        <w:spacing w:after="0" w:line="300" w:lineRule="auto"/>
        <w:ind w:right="-90"/>
        <w:jc w:val="both"/>
        <w:rPr>
          <w:color w:val="000000" w:themeColor="text1"/>
          <w:sz w:val="16"/>
        </w:rPr>
      </w:pPr>
    </w:p>
    <w:p w14:paraId="1CF6389A" w14:textId="51E70D6A" w:rsidR="00620868" w:rsidRDefault="611902FF" w:rsidP="00E90E94">
      <w:pPr>
        <w:numPr>
          <w:ilvl w:val="0"/>
          <w:numId w:val="1"/>
        </w:numPr>
        <w:spacing w:after="0" w:line="300" w:lineRule="auto"/>
        <w:jc w:val="both"/>
        <w:rPr>
          <w:color w:val="000000" w:themeColor="text1"/>
        </w:rPr>
      </w:pPr>
      <w:proofErr w:type="gramStart"/>
      <w:r w:rsidRPr="0229CC4E">
        <w:rPr>
          <w:color w:val="000000" w:themeColor="text1"/>
        </w:rPr>
        <w:t>Fake news</w:t>
      </w:r>
      <w:proofErr w:type="gramEnd"/>
      <w:r w:rsidR="0042478B" w:rsidRPr="0229CC4E">
        <w:rPr>
          <w:color w:val="000000" w:themeColor="text1"/>
        </w:rPr>
        <w:t xml:space="preserve"> : fausses informations, encore appelé désinformation. On publie une information qui est f</w:t>
      </w:r>
      <w:r w:rsidR="00F61238" w:rsidRPr="0229CC4E">
        <w:rPr>
          <w:color w:val="000000" w:themeColor="text1"/>
        </w:rPr>
        <w:t>ausse et non vérifiée. Les fake</w:t>
      </w:r>
      <w:r w:rsidR="0042478B" w:rsidRPr="0229CC4E">
        <w:rPr>
          <w:color w:val="000000" w:themeColor="text1"/>
        </w:rPr>
        <w:t xml:space="preserve"> news ne sont pas toujours publiées avec une mauvaise intention mais parce que la personne qui donne l’information n’est pas compétente.  </w:t>
      </w:r>
    </w:p>
    <w:p w14:paraId="5BB1E579" w14:textId="46C3EEB6" w:rsidR="2C2C1D87" w:rsidRPr="009C3981" w:rsidRDefault="2C2C1D87" w:rsidP="00E90E94">
      <w:pPr>
        <w:spacing w:after="0" w:line="300" w:lineRule="auto"/>
        <w:jc w:val="both"/>
        <w:rPr>
          <w:color w:val="000000" w:themeColor="text1"/>
          <w:sz w:val="16"/>
        </w:rPr>
      </w:pPr>
    </w:p>
    <w:p w14:paraId="7170A049" w14:textId="06ED426D" w:rsidR="0042478B" w:rsidRDefault="0042478B" w:rsidP="00E90E94">
      <w:pPr>
        <w:numPr>
          <w:ilvl w:val="0"/>
          <w:numId w:val="1"/>
        </w:numPr>
        <w:spacing w:after="0" w:line="300" w:lineRule="auto"/>
        <w:jc w:val="both"/>
        <w:rPr>
          <w:color w:val="000000" w:themeColor="text1"/>
        </w:rPr>
      </w:pPr>
      <w:r w:rsidRPr="0229CC4E">
        <w:rPr>
          <w:color w:val="000000" w:themeColor="text1"/>
        </w:rPr>
        <w:t xml:space="preserve">Cherry picking : c'est une image : lorsqu'on mange des cerises, on prend les plus belles et on laisse le reste. Pour l'idéologie, c'est pareil : on prend à la science et au savoir ce dont on a besoin pour appuyer la fondation puis on s'arrange avec le reste, moins certain, pour atteindre notre objectif.  </w:t>
      </w:r>
    </w:p>
    <w:p w14:paraId="38319887" w14:textId="7C916F89" w:rsidR="0042478B" w:rsidRPr="009C3981" w:rsidRDefault="0042478B" w:rsidP="00E90E94">
      <w:pPr>
        <w:spacing w:after="0" w:line="300" w:lineRule="auto"/>
        <w:ind w:left="400"/>
        <w:jc w:val="both"/>
        <w:rPr>
          <w:color w:val="000000" w:themeColor="text1"/>
          <w:sz w:val="16"/>
        </w:rPr>
      </w:pPr>
    </w:p>
    <w:p w14:paraId="5F67FFE6" w14:textId="2B604D7B" w:rsidR="009C3981" w:rsidRDefault="12DC5054" w:rsidP="009C3981">
      <w:pPr>
        <w:numPr>
          <w:ilvl w:val="0"/>
          <w:numId w:val="1"/>
        </w:numPr>
        <w:spacing w:after="0" w:line="300" w:lineRule="auto"/>
        <w:jc w:val="both"/>
        <w:rPr>
          <w:color w:val="000000" w:themeColor="text1"/>
        </w:rPr>
      </w:pPr>
      <w:r w:rsidRPr="0229CC4E">
        <w:rPr>
          <w:color w:val="000000" w:themeColor="text1"/>
        </w:rPr>
        <w:t>Métacognition :</w:t>
      </w:r>
      <w:r w:rsidR="0042478B" w:rsidRPr="0229CC4E">
        <w:rPr>
          <w:color w:val="000000" w:themeColor="text1"/>
        </w:rPr>
        <w:t xml:space="preserve"> perception qu’a l’élève de ses connaissances et de ses apprentissages. Elle est liée à la confiance en soi</w:t>
      </w:r>
      <w:r w:rsidR="009C3981">
        <w:rPr>
          <w:color w:val="000000" w:themeColor="text1"/>
        </w:rPr>
        <w:t xml:space="preserve"> et demande une certaine maturité.</w:t>
      </w:r>
    </w:p>
    <w:p w14:paraId="74B4FBE9" w14:textId="77777777" w:rsidR="009C3981" w:rsidRPr="009C3981" w:rsidRDefault="009C3981" w:rsidP="009C3981">
      <w:pPr>
        <w:spacing w:after="0" w:line="300" w:lineRule="auto"/>
        <w:ind w:left="400"/>
        <w:jc w:val="both"/>
        <w:rPr>
          <w:color w:val="000000" w:themeColor="text1"/>
          <w:sz w:val="16"/>
        </w:rPr>
      </w:pPr>
    </w:p>
    <w:p w14:paraId="11F99054" w14:textId="0787E835" w:rsidR="00620868" w:rsidRPr="009C3981" w:rsidRDefault="5B035EB2" w:rsidP="009C3981">
      <w:pPr>
        <w:numPr>
          <w:ilvl w:val="0"/>
          <w:numId w:val="1"/>
        </w:numPr>
        <w:spacing w:after="0" w:line="300" w:lineRule="auto"/>
        <w:jc w:val="both"/>
        <w:rPr>
          <w:color w:val="000000" w:themeColor="text1"/>
        </w:rPr>
      </w:pPr>
      <w:r w:rsidRPr="009C3981">
        <w:rPr>
          <w:color w:val="000000" w:themeColor="text1"/>
        </w:rPr>
        <w:t>Epistémologie :</w:t>
      </w:r>
      <w:r w:rsidR="0042478B" w:rsidRPr="009C3981">
        <w:rPr>
          <w:color w:val="000000" w:themeColor="text1"/>
        </w:rPr>
        <w:t xml:space="preserve"> étude critique des sciences, étude de la constitution de connaissances valables</w:t>
      </w:r>
      <w:r w:rsidR="009C3981">
        <w:rPr>
          <w:color w:val="000000" w:themeColor="text1"/>
        </w:rPr>
        <w:t>, de la construction du savoir.</w:t>
      </w:r>
    </w:p>
    <w:p w14:paraId="0FCA74BD" w14:textId="77777777" w:rsidR="009C3981" w:rsidRDefault="009C3981" w:rsidP="009C3981">
      <w:pPr>
        <w:spacing w:after="0" w:line="300" w:lineRule="auto"/>
        <w:ind w:left="400"/>
        <w:jc w:val="both"/>
        <w:rPr>
          <w:color w:val="000000" w:themeColor="text1"/>
        </w:rPr>
      </w:pPr>
    </w:p>
    <w:p w14:paraId="1AB4442C" w14:textId="77777777" w:rsidR="00620868" w:rsidRDefault="0042478B" w:rsidP="0229CC4E">
      <w:pPr>
        <w:spacing w:after="0" w:line="600" w:lineRule="auto"/>
        <w:jc w:val="center"/>
        <w:rPr>
          <w:color w:val="000000" w:themeColor="text1"/>
        </w:rPr>
      </w:pPr>
      <w:r w:rsidRPr="0229CC4E">
        <w:rPr>
          <w:rStyle w:val="Titre1Car"/>
        </w:rPr>
        <w:t>QUELQUES BIAIS COGNITIFS</w:t>
      </w:r>
      <w:r w:rsidRPr="0229CC4E">
        <w:rPr>
          <w:color w:val="000000" w:themeColor="text1"/>
        </w:rPr>
        <w:t xml:space="preserve">   </w:t>
      </w:r>
    </w:p>
    <w:p w14:paraId="2A8C4A58" w14:textId="636E593D" w:rsidR="00620868" w:rsidRDefault="3247650B" w:rsidP="009C3981">
      <w:pPr>
        <w:spacing w:after="0" w:line="240" w:lineRule="auto"/>
        <w:jc w:val="both"/>
        <w:rPr>
          <w:color w:val="000000"/>
        </w:rPr>
      </w:pPr>
      <w:r w:rsidRPr="0229CC4E">
        <w:rPr>
          <w:b/>
          <w:bCs/>
          <w:i/>
          <w:iCs/>
          <w:color w:val="000000" w:themeColor="text1"/>
          <w:sz w:val="24"/>
          <w:szCs w:val="24"/>
        </w:rPr>
        <w:t>Préambule :</w:t>
      </w:r>
      <w:r w:rsidR="0042478B" w:rsidRPr="0229CC4E">
        <w:rPr>
          <w:color w:val="000000" w:themeColor="text1"/>
        </w:rPr>
        <w:t xml:space="preserve"> </w:t>
      </w:r>
      <w:r w:rsidR="0042478B" w:rsidRPr="0229CC4E">
        <w:rPr>
          <w:i/>
          <w:iCs/>
          <w:color w:val="000000" w:themeColor="text1"/>
        </w:rPr>
        <w:t>cette partie nous informe sur le fonctionnement du cerveau et de ses pièges. Un biais cognitif est une erreur de jugement qui est faite par notre cerveau. Ces biais nous ont permis de survivre jusqu’à nos jours donc ils sont utiles et le cerveau fonctionne bien, mais parfois, on a besoin de ne pas le laisser nous tromper.</w:t>
      </w:r>
      <w:r w:rsidR="0042478B" w:rsidRPr="0229CC4E">
        <w:rPr>
          <w:color w:val="000000" w:themeColor="text1"/>
        </w:rPr>
        <w:t xml:space="preserve">  </w:t>
      </w:r>
    </w:p>
    <w:p w14:paraId="08615AE3" w14:textId="24B5BC5E" w:rsidR="2C2C1D87" w:rsidRDefault="2C2C1D87" w:rsidP="009C3981">
      <w:pPr>
        <w:spacing w:after="0" w:line="240" w:lineRule="auto"/>
        <w:jc w:val="both"/>
      </w:pPr>
    </w:p>
    <w:p w14:paraId="0F96D2F5" w14:textId="0FD57992" w:rsidR="00620868" w:rsidRDefault="0042478B" w:rsidP="009C3981">
      <w:pPr>
        <w:numPr>
          <w:ilvl w:val="0"/>
          <w:numId w:val="2"/>
        </w:numPr>
        <w:spacing w:after="0" w:line="300" w:lineRule="auto"/>
        <w:jc w:val="both"/>
        <w:rPr>
          <w:b/>
          <w:bCs/>
          <w:color w:val="000000" w:themeColor="text1"/>
          <w:sz w:val="30"/>
          <w:szCs w:val="30"/>
        </w:rPr>
      </w:pPr>
      <w:r w:rsidRPr="0229CC4E">
        <w:rPr>
          <w:color w:val="000000" w:themeColor="text1"/>
        </w:rPr>
        <w:t xml:space="preserve">Les heuristiques : notre cerveau a une manière rapide de réfléchir qui s'appelle heuristique. Elle est rapide, mais nous trompe parfois (illusion d’optique, des raccourcis de réflexion lorsqu’on discute et qu’il faut vite donner des arguments).  </w:t>
      </w:r>
    </w:p>
    <w:p w14:paraId="09B59B1C" w14:textId="664A8A49" w:rsidR="00620868" w:rsidRPr="00BB55EF" w:rsidRDefault="00620868" w:rsidP="009C3981">
      <w:pPr>
        <w:spacing w:after="0" w:line="300" w:lineRule="auto"/>
        <w:ind w:left="400"/>
        <w:jc w:val="both"/>
        <w:rPr>
          <w:b/>
          <w:bCs/>
          <w:color w:val="000000" w:themeColor="text1"/>
          <w:sz w:val="18"/>
          <w:szCs w:val="30"/>
        </w:rPr>
      </w:pPr>
    </w:p>
    <w:p w14:paraId="614BD6CE" w14:textId="48BC9725" w:rsidR="00620868" w:rsidRDefault="0042478B" w:rsidP="009C3981">
      <w:pPr>
        <w:numPr>
          <w:ilvl w:val="0"/>
          <w:numId w:val="2"/>
        </w:numPr>
        <w:spacing w:after="0" w:line="300" w:lineRule="auto"/>
        <w:jc w:val="both"/>
        <w:rPr>
          <w:b/>
          <w:bCs/>
          <w:color w:val="000000" w:themeColor="text1"/>
          <w:sz w:val="30"/>
          <w:szCs w:val="30"/>
        </w:rPr>
      </w:pPr>
      <w:r w:rsidRPr="0229CC4E">
        <w:rPr>
          <w:color w:val="000000" w:themeColor="text1"/>
        </w:rPr>
        <w:t xml:space="preserve">Biais de confirmation : on a tendance à sélectionner les informations qui vont dans le sens de nos idées préconçues et à ignorer celles qui les contredisent.  </w:t>
      </w:r>
    </w:p>
    <w:p w14:paraId="0D4C456C" w14:textId="6270FDD1" w:rsidR="00620868" w:rsidRPr="00BB55EF" w:rsidRDefault="00620868" w:rsidP="009C3981">
      <w:pPr>
        <w:spacing w:after="0" w:line="300" w:lineRule="auto"/>
        <w:ind w:left="400"/>
        <w:jc w:val="both"/>
        <w:rPr>
          <w:b/>
          <w:bCs/>
          <w:color w:val="000000" w:themeColor="text1"/>
          <w:sz w:val="18"/>
          <w:szCs w:val="18"/>
        </w:rPr>
      </w:pPr>
    </w:p>
    <w:p w14:paraId="5890A0D0" w14:textId="6D90F57B" w:rsidR="00620868" w:rsidRDefault="0042478B" w:rsidP="009C3981">
      <w:pPr>
        <w:numPr>
          <w:ilvl w:val="0"/>
          <w:numId w:val="2"/>
        </w:numPr>
        <w:spacing w:after="0" w:line="300" w:lineRule="auto"/>
        <w:jc w:val="both"/>
        <w:rPr>
          <w:b/>
          <w:bCs/>
          <w:color w:val="000000" w:themeColor="text1"/>
          <w:sz w:val="30"/>
          <w:szCs w:val="30"/>
        </w:rPr>
      </w:pPr>
      <w:r w:rsidRPr="0229CC4E">
        <w:rPr>
          <w:color w:val="000000" w:themeColor="text1"/>
        </w:rPr>
        <w:t xml:space="preserve">Argument d’autorité : tendance à surévaluer la valeur de l’opinion d’une personne que l'on considère comme ayant une légitimité, étant fiable sur un sujet donné (expert ou supérieur). On aura ainsi une confiance aveugle en un professeur ou un parent.  </w:t>
      </w:r>
    </w:p>
    <w:p w14:paraId="67785D3A" w14:textId="41F4C81D" w:rsidR="00620868" w:rsidRPr="00BB55EF" w:rsidRDefault="00620868" w:rsidP="009C3981">
      <w:pPr>
        <w:spacing w:after="0" w:line="300" w:lineRule="auto"/>
        <w:ind w:left="400"/>
        <w:jc w:val="both"/>
        <w:rPr>
          <w:b/>
          <w:bCs/>
          <w:color w:val="000000" w:themeColor="text1"/>
          <w:sz w:val="18"/>
          <w:szCs w:val="18"/>
        </w:rPr>
      </w:pPr>
    </w:p>
    <w:p w14:paraId="07208459" w14:textId="3807C64C" w:rsidR="00620868" w:rsidRDefault="0042478B" w:rsidP="009C3981">
      <w:pPr>
        <w:numPr>
          <w:ilvl w:val="0"/>
          <w:numId w:val="2"/>
        </w:numPr>
        <w:spacing w:after="0" w:line="300" w:lineRule="auto"/>
        <w:jc w:val="both"/>
        <w:rPr>
          <w:b/>
          <w:bCs/>
          <w:color w:val="000000" w:themeColor="text1"/>
          <w:sz w:val="30"/>
          <w:szCs w:val="30"/>
        </w:rPr>
      </w:pPr>
      <w:r w:rsidRPr="0229CC4E">
        <w:rPr>
          <w:color w:val="000000" w:themeColor="text1"/>
        </w:rPr>
        <w:t xml:space="preserve">L'effet de halo : attribution de qualité à quelqu'un ou quelque chose d'après son aspect physique </w:t>
      </w:r>
      <w:r w:rsidR="00BB55EF">
        <w:rPr>
          <w:color w:val="000000" w:themeColor="text1"/>
        </w:rPr>
        <w:t>(</w:t>
      </w:r>
      <w:r w:rsidRPr="0229CC4E">
        <w:rPr>
          <w:color w:val="000000" w:themeColor="text1"/>
        </w:rPr>
        <w:t>suivant que la personne est grande, belle</w:t>
      </w:r>
      <w:r w:rsidR="00BB55EF">
        <w:rPr>
          <w:color w:val="000000" w:themeColor="text1"/>
        </w:rPr>
        <w:t>,</w:t>
      </w:r>
      <w:r w:rsidRPr="0229CC4E">
        <w:rPr>
          <w:color w:val="000000" w:themeColor="text1"/>
        </w:rPr>
        <w:t xml:space="preserve"> etc.</w:t>
      </w:r>
      <w:r w:rsidR="00BB55EF">
        <w:rPr>
          <w:color w:val="000000" w:themeColor="text1"/>
        </w:rPr>
        <w:t>).</w:t>
      </w:r>
      <w:r w:rsidRPr="0229CC4E">
        <w:rPr>
          <w:color w:val="000000" w:themeColor="text1"/>
        </w:rPr>
        <w:t xml:space="preserve">  </w:t>
      </w:r>
    </w:p>
    <w:p w14:paraId="32F70F54" w14:textId="7F7354A4" w:rsidR="00620868" w:rsidRPr="00BB55EF" w:rsidRDefault="00620868" w:rsidP="009C3981">
      <w:pPr>
        <w:spacing w:after="0" w:line="300" w:lineRule="auto"/>
        <w:ind w:left="400"/>
        <w:jc w:val="both"/>
        <w:rPr>
          <w:b/>
          <w:bCs/>
          <w:color w:val="000000" w:themeColor="text1"/>
          <w:sz w:val="18"/>
          <w:szCs w:val="18"/>
        </w:rPr>
      </w:pPr>
      <w:bookmarkStart w:id="0" w:name="_GoBack"/>
      <w:bookmarkEnd w:id="0"/>
    </w:p>
    <w:p w14:paraId="3949B3BA" w14:textId="00F942B0" w:rsidR="00620868" w:rsidRDefault="0042478B" w:rsidP="009C3981">
      <w:pPr>
        <w:numPr>
          <w:ilvl w:val="0"/>
          <w:numId w:val="2"/>
        </w:numPr>
        <w:spacing w:after="0" w:line="300" w:lineRule="auto"/>
        <w:jc w:val="both"/>
        <w:rPr>
          <w:b/>
          <w:bCs/>
          <w:color w:val="000000" w:themeColor="text1"/>
          <w:sz w:val="30"/>
          <w:szCs w:val="30"/>
        </w:rPr>
      </w:pPr>
      <w:r w:rsidRPr="0229CC4E">
        <w:rPr>
          <w:color w:val="000000" w:themeColor="text1"/>
        </w:rPr>
        <w:t>Soumission à l'autorité : le cerveau a tendance à se soumettre à une personne détenant ou représent</w:t>
      </w:r>
      <w:r w:rsidR="009618AE" w:rsidRPr="0229CC4E">
        <w:rPr>
          <w:color w:val="000000" w:themeColor="text1"/>
        </w:rPr>
        <w:t>ant l’autorité</w:t>
      </w:r>
      <w:r w:rsidRPr="0229CC4E">
        <w:rPr>
          <w:color w:val="000000" w:themeColor="text1"/>
        </w:rPr>
        <w:t xml:space="preserve">.  </w:t>
      </w:r>
    </w:p>
    <w:p w14:paraId="4F4AD6B2" w14:textId="63DE78F0" w:rsidR="00620868" w:rsidRPr="00BB55EF" w:rsidRDefault="00620868" w:rsidP="009C3981">
      <w:pPr>
        <w:spacing w:after="0" w:line="300" w:lineRule="auto"/>
        <w:ind w:left="400"/>
        <w:jc w:val="both"/>
        <w:rPr>
          <w:b/>
          <w:bCs/>
          <w:color w:val="000000" w:themeColor="text1"/>
          <w:sz w:val="18"/>
          <w:szCs w:val="18"/>
        </w:rPr>
      </w:pPr>
    </w:p>
    <w:p w14:paraId="19DC4039" w14:textId="4A65A4A6" w:rsidR="00620868" w:rsidRDefault="0042478B" w:rsidP="009C3981">
      <w:pPr>
        <w:numPr>
          <w:ilvl w:val="0"/>
          <w:numId w:val="2"/>
        </w:numPr>
        <w:spacing w:after="0" w:line="300" w:lineRule="auto"/>
        <w:jc w:val="both"/>
        <w:rPr>
          <w:b/>
          <w:bCs/>
          <w:color w:val="000000" w:themeColor="text1"/>
          <w:sz w:val="30"/>
          <w:szCs w:val="30"/>
        </w:rPr>
      </w:pPr>
      <w:r w:rsidRPr="0229CC4E">
        <w:rPr>
          <w:color w:val="000000" w:themeColor="text1"/>
        </w:rPr>
        <w:t xml:space="preserve">Biais d'ancrage : la première donnée fait référence et fixe le cerveau sur cette référence. Exemple : lors des soldes, le prix de base affiché = ancrage pour le cerveau, donne l’impression de faire une affaire car le prix à payer est inférieur à la valeur d’ancrage.  </w:t>
      </w:r>
    </w:p>
    <w:p w14:paraId="1B61981F" w14:textId="0220D3AF" w:rsidR="00620868" w:rsidRPr="00BB55EF" w:rsidRDefault="00620868" w:rsidP="009C3981">
      <w:pPr>
        <w:spacing w:after="0" w:line="300" w:lineRule="auto"/>
        <w:ind w:left="400"/>
        <w:jc w:val="both"/>
        <w:rPr>
          <w:b/>
          <w:bCs/>
          <w:color w:val="000000" w:themeColor="text1"/>
          <w:sz w:val="18"/>
          <w:szCs w:val="18"/>
        </w:rPr>
      </w:pPr>
    </w:p>
    <w:p w14:paraId="29D6B04F" w14:textId="21D50FB3" w:rsidR="00620868" w:rsidRDefault="0042478B" w:rsidP="009C3981">
      <w:pPr>
        <w:numPr>
          <w:ilvl w:val="0"/>
          <w:numId w:val="2"/>
        </w:numPr>
        <w:spacing w:after="0" w:line="300" w:lineRule="auto"/>
        <w:jc w:val="both"/>
        <w:rPr>
          <w:b/>
          <w:bCs/>
          <w:color w:val="000000" w:themeColor="text1"/>
          <w:sz w:val="30"/>
          <w:szCs w:val="30"/>
        </w:rPr>
      </w:pPr>
      <w:r w:rsidRPr="0229CC4E">
        <w:rPr>
          <w:color w:val="000000" w:themeColor="text1"/>
        </w:rPr>
        <w:t>Biais de la pensée de groupe : dans un groupe, la première idée exprimée sera admise comme étant celle du collectif et ceux qui seront en désaccord auront tendance à se taire car le désir d’unanimité outrepasse la motivation à faire d’autres propositions (et s’exclure du groupe). On l’observe par exemple lorsqu’un professeur demande à la classe son avis sur un thème et qu’une fois la première réponse donnée, les autres</w:t>
      </w:r>
      <w:r w:rsidR="1D652AC7" w:rsidRPr="0229CC4E">
        <w:rPr>
          <w:color w:val="000000" w:themeColor="text1"/>
        </w:rPr>
        <w:t xml:space="preserve"> </w:t>
      </w:r>
      <w:r w:rsidRPr="0229CC4E">
        <w:rPr>
          <w:color w:val="000000" w:themeColor="text1"/>
        </w:rPr>
        <w:t>n’expriment pas de désaccord. </w:t>
      </w:r>
    </w:p>
    <w:sectPr w:rsidR="00620868" w:rsidSect="009C3981">
      <w:headerReference w:type="default" r:id="rId11"/>
      <w:footerReference w:type="default" r:id="rId12"/>
      <w:pgSz w:w="11910" w:h="16845"/>
      <w:pgMar w:top="284" w:right="1200" w:bottom="142" w:left="135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C8420B2" w14:textId="77777777" w:rsidR="00516073" w:rsidRDefault="00516073">
      <w:pPr>
        <w:spacing w:after="0" w:line="240" w:lineRule="auto"/>
      </w:pPr>
      <w:r>
        <w:separator/>
      </w:r>
    </w:p>
  </w:endnote>
  <w:endnote w:type="continuationSeparator" w:id="0">
    <w:p w14:paraId="68B3D264" w14:textId="77777777" w:rsidR="00516073" w:rsidRDefault="005160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23D6D6FB-159F-453D-BFEA-FA9DD2A4DBDC}"/>
    <w:embedBold r:id="rId2" w:fontKey="{9E83DC5F-F12A-47AD-923B-431EBA86D22F}"/>
    <w:embedItalic r:id="rId3" w:fontKey="{EE2830EB-5981-4DD0-9AE5-22D1F959B639}"/>
    <w:embedBoldItalic r:id="rId4" w:fontKey="{5891DB64-D854-4BBA-8EEC-5B4D49C47231}"/>
  </w:font>
  <w:font w:name="Calibri Light">
    <w:panose1 w:val="020F0302020204030204"/>
    <w:charset w:val="00"/>
    <w:family w:val="swiss"/>
    <w:pitch w:val="variable"/>
    <w:sig w:usb0="E4002EFF" w:usb1="C000247B" w:usb2="00000009" w:usb3="00000000" w:csb0="000001FF" w:csb1="00000000"/>
    <w:embedRegular r:id="rId5" w:fontKey="{FFF9BD54-F215-4C8A-A0DE-ADE7853F044E}"/>
  </w:font>
  <w:font w:name="Tahoma">
    <w:panose1 w:val="020B0604030504040204"/>
    <w:charset w:val="00"/>
    <w:family w:val="swiss"/>
    <w:pitch w:val="variable"/>
    <w:sig w:usb0="E1002EFF" w:usb1="C000605B" w:usb2="00000029" w:usb3="00000000" w:csb0="000101FF" w:csb1="00000000"/>
    <w:embedRegular r:id="rId6" w:fontKey="{EF22C876-1D86-420B-866F-6316F2F7902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25"/>
      <w:gridCol w:w="3025"/>
      <w:gridCol w:w="3025"/>
    </w:tblGrid>
    <w:tr w:rsidR="0229CC4E" w14:paraId="6899ECB6" w14:textId="77777777" w:rsidTr="0229CC4E">
      <w:trPr>
        <w:trHeight w:val="300"/>
      </w:trPr>
      <w:tc>
        <w:tcPr>
          <w:tcW w:w="3025" w:type="dxa"/>
        </w:tcPr>
        <w:p w14:paraId="39A7C5E6" w14:textId="121A7087" w:rsidR="0229CC4E" w:rsidRDefault="0229CC4E" w:rsidP="0229CC4E">
          <w:pPr>
            <w:pStyle w:val="En-tte"/>
            <w:ind w:left="-115"/>
          </w:pPr>
        </w:p>
      </w:tc>
      <w:tc>
        <w:tcPr>
          <w:tcW w:w="3025" w:type="dxa"/>
        </w:tcPr>
        <w:p w14:paraId="64D4456D" w14:textId="66B61084" w:rsidR="0229CC4E" w:rsidRDefault="0229CC4E" w:rsidP="0229CC4E">
          <w:pPr>
            <w:pStyle w:val="En-tte"/>
            <w:jc w:val="center"/>
          </w:pPr>
        </w:p>
      </w:tc>
      <w:tc>
        <w:tcPr>
          <w:tcW w:w="3025" w:type="dxa"/>
        </w:tcPr>
        <w:p w14:paraId="06E8C00F" w14:textId="2DA35C99" w:rsidR="0229CC4E" w:rsidRDefault="0229CC4E" w:rsidP="0229CC4E">
          <w:pPr>
            <w:pStyle w:val="En-tte"/>
            <w:ind w:right="-115"/>
            <w:jc w:val="right"/>
          </w:pPr>
        </w:p>
      </w:tc>
    </w:tr>
  </w:tbl>
  <w:p w14:paraId="6B033D7A" w14:textId="035F8028" w:rsidR="0229CC4E" w:rsidRDefault="0229CC4E" w:rsidP="0229CC4E">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8F94982" w14:textId="77777777" w:rsidR="00516073" w:rsidRDefault="00516073">
      <w:pPr>
        <w:spacing w:after="0" w:line="240" w:lineRule="auto"/>
      </w:pPr>
      <w:r>
        <w:separator/>
      </w:r>
    </w:p>
  </w:footnote>
  <w:footnote w:type="continuationSeparator" w:id="0">
    <w:p w14:paraId="3186FEC7" w14:textId="77777777" w:rsidR="00516073" w:rsidRDefault="0051607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9075"/>
    </w:tblGrid>
    <w:tr w:rsidR="0229CC4E" w14:paraId="056385E8" w14:textId="77777777" w:rsidTr="0229CC4E">
      <w:trPr>
        <w:trHeight w:val="300"/>
      </w:trPr>
      <w:tc>
        <w:tcPr>
          <w:tcW w:w="9075" w:type="dxa"/>
        </w:tcPr>
        <w:p w14:paraId="7A2A8C3D" w14:textId="21F6C798" w:rsidR="0229CC4E" w:rsidRDefault="0229CC4E" w:rsidP="0229CC4E">
          <w:pPr>
            <w:pStyle w:val="En-tte"/>
            <w:ind w:left="-115"/>
            <w:jc w:val="center"/>
          </w:pPr>
          <w:r>
            <w:rPr>
              <w:noProof/>
            </w:rPr>
            <w:drawing>
              <wp:inline distT="0" distB="0" distL="0" distR="0" wp14:anchorId="06C48EC4" wp14:editId="5272996B">
                <wp:extent cx="5534026" cy="5334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5534026" cy="533400"/>
                        </a:xfrm>
                        <a:prstGeom prst="rect">
                          <a:avLst/>
                        </a:prstGeom>
                      </pic:spPr>
                    </pic:pic>
                  </a:graphicData>
                </a:graphic>
              </wp:inline>
            </w:drawing>
          </w:r>
        </w:p>
      </w:tc>
    </w:tr>
  </w:tbl>
  <w:p w14:paraId="607C4575" w14:textId="105C20CB" w:rsidR="0229CC4E" w:rsidRDefault="0229CC4E" w:rsidP="0229CC4E">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78287E"/>
    <w:multiLevelType w:val="hybridMultilevel"/>
    <w:tmpl w:val="4EA2F060"/>
    <w:lvl w:ilvl="0" w:tplc="2BBC17DE">
      <w:start w:val="1"/>
      <w:numFmt w:val="bullet"/>
      <w:lvlText w:val=""/>
      <w:lvlJc w:val="left"/>
      <w:pPr>
        <w:ind w:left="400" w:hanging="360"/>
      </w:pPr>
      <w:rPr>
        <w:rFonts w:ascii="Symbol" w:hAnsi="Symbol"/>
      </w:rPr>
    </w:lvl>
    <w:lvl w:ilvl="1" w:tplc="F670C954">
      <w:start w:val="1"/>
      <w:numFmt w:val="bullet"/>
      <w:lvlText w:val="o"/>
      <w:lvlJc w:val="left"/>
      <w:pPr>
        <w:ind w:left="800" w:hanging="360"/>
      </w:pPr>
      <w:rPr>
        <w:rFonts w:ascii="Courier New" w:hAnsi="Courier New"/>
      </w:rPr>
    </w:lvl>
    <w:lvl w:ilvl="2" w:tplc="56789F62">
      <w:start w:val="1"/>
      <w:numFmt w:val="bullet"/>
      <w:lvlText w:val=""/>
      <w:lvlJc w:val="left"/>
      <w:pPr>
        <w:ind w:left="1200" w:hanging="360"/>
      </w:pPr>
      <w:rPr>
        <w:rFonts w:ascii="Wingdings" w:hAnsi="Wingdings"/>
      </w:rPr>
    </w:lvl>
    <w:lvl w:ilvl="3" w:tplc="E1726754">
      <w:start w:val="1"/>
      <w:numFmt w:val="bullet"/>
      <w:lvlText w:val=""/>
      <w:lvlJc w:val="left"/>
      <w:pPr>
        <w:ind w:left="1600" w:hanging="360"/>
      </w:pPr>
      <w:rPr>
        <w:rFonts w:ascii="Symbol" w:hAnsi="Symbol"/>
      </w:rPr>
    </w:lvl>
    <w:lvl w:ilvl="4" w:tplc="8A28B2E0">
      <w:start w:val="1"/>
      <w:numFmt w:val="bullet"/>
      <w:lvlText w:val="o"/>
      <w:lvlJc w:val="left"/>
      <w:pPr>
        <w:ind w:left="2000" w:hanging="360"/>
      </w:pPr>
      <w:rPr>
        <w:rFonts w:ascii="Courier New" w:hAnsi="Courier New"/>
      </w:rPr>
    </w:lvl>
    <w:lvl w:ilvl="5" w:tplc="DCAAE890">
      <w:start w:val="1"/>
      <w:numFmt w:val="bullet"/>
      <w:lvlText w:val=""/>
      <w:lvlJc w:val="left"/>
      <w:pPr>
        <w:ind w:left="2400" w:hanging="360"/>
      </w:pPr>
      <w:rPr>
        <w:rFonts w:ascii="Wingdings" w:hAnsi="Wingdings"/>
      </w:rPr>
    </w:lvl>
    <w:lvl w:ilvl="6" w:tplc="5DB8B622">
      <w:start w:val="1"/>
      <w:numFmt w:val="bullet"/>
      <w:lvlText w:val=""/>
      <w:lvlJc w:val="left"/>
      <w:pPr>
        <w:ind w:left="2800" w:hanging="360"/>
      </w:pPr>
      <w:rPr>
        <w:rFonts w:ascii="Symbol" w:hAnsi="Symbol"/>
      </w:rPr>
    </w:lvl>
    <w:lvl w:ilvl="7" w:tplc="DA2A19BC">
      <w:start w:val="1"/>
      <w:numFmt w:val="bullet"/>
      <w:lvlText w:val="o"/>
      <w:lvlJc w:val="left"/>
      <w:pPr>
        <w:ind w:left="3200" w:hanging="360"/>
      </w:pPr>
      <w:rPr>
        <w:rFonts w:ascii="Courier New" w:hAnsi="Courier New"/>
      </w:rPr>
    </w:lvl>
    <w:lvl w:ilvl="8" w:tplc="B36E3182">
      <w:numFmt w:val="decimal"/>
      <w:lvlText w:val=""/>
      <w:lvlJc w:val="left"/>
    </w:lvl>
  </w:abstractNum>
  <w:abstractNum w:abstractNumId="1" w15:restartNumberingAfterBreak="0">
    <w:nsid w:val="56622651"/>
    <w:multiLevelType w:val="hybridMultilevel"/>
    <w:tmpl w:val="62C0FEE4"/>
    <w:lvl w:ilvl="0" w:tplc="06AEB6BE">
      <w:start w:val="1"/>
      <w:numFmt w:val="bullet"/>
      <w:lvlText w:val=""/>
      <w:lvlJc w:val="left"/>
      <w:pPr>
        <w:ind w:left="400" w:hanging="360"/>
      </w:pPr>
      <w:rPr>
        <w:rFonts w:ascii="Symbol" w:hAnsi="Symbol"/>
      </w:rPr>
    </w:lvl>
    <w:lvl w:ilvl="1" w:tplc="1138FF10">
      <w:start w:val="1"/>
      <w:numFmt w:val="bullet"/>
      <w:lvlText w:val="o"/>
      <w:lvlJc w:val="left"/>
      <w:pPr>
        <w:ind w:left="800" w:hanging="360"/>
      </w:pPr>
      <w:rPr>
        <w:rFonts w:ascii="Courier New" w:hAnsi="Courier New"/>
      </w:rPr>
    </w:lvl>
    <w:lvl w:ilvl="2" w:tplc="9BDA7638">
      <w:start w:val="1"/>
      <w:numFmt w:val="bullet"/>
      <w:lvlText w:val=""/>
      <w:lvlJc w:val="left"/>
      <w:pPr>
        <w:ind w:left="1200" w:hanging="360"/>
      </w:pPr>
      <w:rPr>
        <w:rFonts w:ascii="Wingdings" w:hAnsi="Wingdings"/>
      </w:rPr>
    </w:lvl>
    <w:lvl w:ilvl="3" w:tplc="C3366002">
      <w:start w:val="1"/>
      <w:numFmt w:val="bullet"/>
      <w:lvlText w:val=""/>
      <w:lvlJc w:val="left"/>
      <w:pPr>
        <w:ind w:left="1600" w:hanging="360"/>
      </w:pPr>
      <w:rPr>
        <w:rFonts w:ascii="Symbol" w:hAnsi="Symbol"/>
      </w:rPr>
    </w:lvl>
    <w:lvl w:ilvl="4" w:tplc="9312ABA0">
      <w:start w:val="1"/>
      <w:numFmt w:val="bullet"/>
      <w:lvlText w:val="o"/>
      <w:lvlJc w:val="left"/>
      <w:pPr>
        <w:ind w:left="2000" w:hanging="360"/>
      </w:pPr>
      <w:rPr>
        <w:rFonts w:ascii="Courier New" w:hAnsi="Courier New"/>
      </w:rPr>
    </w:lvl>
    <w:lvl w:ilvl="5" w:tplc="BA6EAA46">
      <w:start w:val="1"/>
      <w:numFmt w:val="bullet"/>
      <w:lvlText w:val=""/>
      <w:lvlJc w:val="left"/>
      <w:pPr>
        <w:ind w:left="2400" w:hanging="360"/>
      </w:pPr>
      <w:rPr>
        <w:rFonts w:ascii="Wingdings" w:hAnsi="Wingdings"/>
      </w:rPr>
    </w:lvl>
    <w:lvl w:ilvl="6" w:tplc="B5445FFC">
      <w:start w:val="1"/>
      <w:numFmt w:val="bullet"/>
      <w:lvlText w:val=""/>
      <w:lvlJc w:val="left"/>
      <w:pPr>
        <w:ind w:left="2800" w:hanging="360"/>
      </w:pPr>
      <w:rPr>
        <w:rFonts w:ascii="Symbol" w:hAnsi="Symbol"/>
      </w:rPr>
    </w:lvl>
    <w:lvl w:ilvl="7" w:tplc="CD84F680">
      <w:start w:val="1"/>
      <w:numFmt w:val="bullet"/>
      <w:lvlText w:val="o"/>
      <w:lvlJc w:val="left"/>
      <w:pPr>
        <w:ind w:left="3200" w:hanging="360"/>
      </w:pPr>
      <w:rPr>
        <w:rFonts w:ascii="Courier New" w:hAnsi="Courier New"/>
      </w:rPr>
    </w:lvl>
    <w:lvl w:ilvl="8" w:tplc="167ABAE6">
      <w:numFmt w:val="decimal"/>
      <w:lvlText w:val=""/>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defaultTabStop w:val="708"/>
  <w:hyphenationZone w:val="425"/>
  <w:doNotShadeFormData/>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620868"/>
    <w:rsid w:val="00195B77"/>
    <w:rsid w:val="00250A35"/>
    <w:rsid w:val="0042478B"/>
    <w:rsid w:val="00516073"/>
    <w:rsid w:val="00620868"/>
    <w:rsid w:val="009618AE"/>
    <w:rsid w:val="009C3981"/>
    <w:rsid w:val="00BB55EF"/>
    <w:rsid w:val="00D15210"/>
    <w:rsid w:val="00E90E94"/>
    <w:rsid w:val="00F61238"/>
    <w:rsid w:val="0229CC4E"/>
    <w:rsid w:val="02DF4066"/>
    <w:rsid w:val="03C236E6"/>
    <w:rsid w:val="0BCBB18E"/>
    <w:rsid w:val="0F2EC9AF"/>
    <w:rsid w:val="0F6E4C27"/>
    <w:rsid w:val="12DC5054"/>
    <w:rsid w:val="1D652AC7"/>
    <w:rsid w:val="21784FF1"/>
    <w:rsid w:val="2433B944"/>
    <w:rsid w:val="2460D388"/>
    <w:rsid w:val="264BC114"/>
    <w:rsid w:val="2C2C1D87"/>
    <w:rsid w:val="2DAEC58B"/>
    <w:rsid w:val="2DED7C9A"/>
    <w:rsid w:val="32343755"/>
    <w:rsid w:val="3247650B"/>
    <w:rsid w:val="3CBFEB8B"/>
    <w:rsid w:val="4AB44D51"/>
    <w:rsid w:val="4C2E01E7"/>
    <w:rsid w:val="4E2EE83E"/>
    <w:rsid w:val="57F46BC4"/>
    <w:rsid w:val="5B035EB2"/>
    <w:rsid w:val="5F51D191"/>
    <w:rsid w:val="60387312"/>
    <w:rsid w:val="611902FF"/>
    <w:rsid w:val="69FD434F"/>
    <w:rsid w:val="6B9913B0"/>
    <w:rsid w:val="745D13F7"/>
    <w:rsid w:val="7A005B89"/>
    <w:rsid w:val="7A93EE63"/>
    <w:rsid w:val="7C8FB7AF"/>
    <w:rsid w:val="7D5EA42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DC97E4"/>
  <w15:docId w15:val="{A5E9C20E-4E3D-4B0B-8C1F-C834B18C8F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1">
    <w:name w:val="heading 1"/>
    <w:basedOn w:val="Normal"/>
    <w:next w:val="Normal"/>
    <w:link w:val="Titre1Car"/>
    <w:uiPriority w:val="9"/>
    <w:qFormat/>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Pr>
      <w:rFonts w:asciiTheme="majorHAnsi" w:eastAsiaTheme="majorEastAsia" w:hAnsiTheme="majorHAnsi" w:cstheme="majorBidi"/>
      <w:color w:val="2E74B5" w:themeColor="accent1" w:themeShade="BF"/>
      <w:sz w:val="32"/>
      <w:szCs w:val="32"/>
    </w:rPr>
  </w:style>
  <w:style w:type="table" w:styleId="Grilledutableau">
    <w:name w:val="Table Grid"/>
    <w:basedOn w:val="Tableau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En-tteCar">
    <w:name w:val="En-tête Car"/>
    <w:basedOn w:val="Policepardfaut"/>
    <w:link w:val="En-tte"/>
    <w:uiPriority w:val="99"/>
  </w:style>
  <w:style w:type="paragraph" w:styleId="En-tte">
    <w:name w:val="header"/>
    <w:basedOn w:val="Normal"/>
    <w:link w:val="En-tteCar"/>
    <w:uiPriority w:val="99"/>
    <w:unhideWhenUsed/>
    <w:pPr>
      <w:tabs>
        <w:tab w:val="center" w:pos="4680"/>
        <w:tab w:val="right" w:pos="9360"/>
      </w:tabs>
      <w:spacing w:after="0" w:line="240" w:lineRule="auto"/>
    </w:pPr>
  </w:style>
  <w:style w:type="character" w:customStyle="1" w:styleId="PieddepageCar">
    <w:name w:val="Pied de page Car"/>
    <w:basedOn w:val="Policepardfaut"/>
    <w:link w:val="Pieddepage"/>
    <w:uiPriority w:val="99"/>
  </w:style>
  <w:style w:type="paragraph" w:styleId="Pieddepage">
    <w:name w:val="footer"/>
    <w:basedOn w:val="Normal"/>
    <w:link w:val="PieddepageCar"/>
    <w:uiPriority w:val="99"/>
    <w:unhideWhenUsed/>
    <w:pPr>
      <w:tabs>
        <w:tab w:val="center" w:pos="4680"/>
        <w:tab w:val="right" w:pos="9360"/>
      </w:tabs>
      <w:spacing w:after="0" w:line="240" w:lineRule="auto"/>
    </w:pPr>
  </w:style>
  <w:style w:type="paragraph" w:styleId="Textedebulles">
    <w:name w:val="Balloon Text"/>
    <w:basedOn w:val="Normal"/>
    <w:link w:val="TextedebullesCar"/>
    <w:uiPriority w:val="99"/>
    <w:semiHidden/>
    <w:unhideWhenUsed/>
    <w:rsid w:val="00195B77"/>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95B7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556544d8-f53b-4cbe-a9cb-6ca52ff39be4">
      <Terms xmlns="http://schemas.microsoft.com/office/infopath/2007/PartnerControls"/>
    </lcf76f155ced4ddcb4097134ff3c332f>
    <TaxCatchAll xmlns="627703c2-4e28-4e4f-89f0-abd05910ea24"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D9555BB4269294F92FEE2186DA4A2D4" ma:contentTypeVersion="13" ma:contentTypeDescription="Crée un document." ma:contentTypeScope="" ma:versionID="86462282da614b4148662b4ea215261b">
  <xsd:schema xmlns:xsd="http://www.w3.org/2001/XMLSchema" xmlns:xs="http://www.w3.org/2001/XMLSchema" xmlns:p="http://schemas.microsoft.com/office/2006/metadata/properties" xmlns:ns2="556544d8-f53b-4cbe-a9cb-6ca52ff39be4" xmlns:ns3="627703c2-4e28-4e4f-89f0-abd05910ea24" targetNamespace="http://schemas.microsoft.com/office/2006/metadata/properties" ma:root="true" ma:fieldsID="eba228a8cfb7ce66be7f1f532f19056c" ns2:_="" ns3:_="">
    <xsd:import namespace="556544d8-f53b-4cbe-a9cb-6ca52ff39be4"/>
    <xsd:import namespace="627703c2-4e28-4e4f-89f0-abd05910ea24"/>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6544d8-f53b-4cbe-a9cb-6ca52ff39be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Balises d’images" ma:readOnly="false" ma:fieldId="{5cf76f15-5ced-4ddc-b409-7134ff3c332f}" ma:taxonomyMulti="true" ma:sspId="012f8fb1-763d-4eee-8e7f-0e5339ba90a3"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27703c2-4e28-4e4f-89f0-abd05910ea24" elementFormDefault="qualified">
    <xsd:import namespace="http://schemas.microsoft.com/office/2006/documentManagement/types"/>
    <xsd:import namespace="http://schemas.microsoft.com/office/infopath/2007/PartnerControls"/>
    <xsd:element name="SharedWithUsers" ma:index="11"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Partagé avec détails" ma:internalName="SharedWithDetails" ma:readOnly="true">
      <xsd:simpleType>
        <xsd:restriction base="dms:Note">
          <xsd:maxLength value="255"/>
        </xsd:restriction>
      </xsd:simpleType>
    </xsd:element>
    <xsd:element name="TaxCatchAll" ma:index="15" nillable="true" ma:displayName="Taxonomy Catch All Column" ma:hidden="true" ma:list="{abaf1198-e38a-4770-850a-a5a0bfa9df7b}" ma:internalName="TaxCatchAll" ma:showField="CatchAllData" ma:web="627703c2-4e28-4e4f-89f0-abd05910ea2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88C7EBA-BB77-41D8-9848-D02A1058BC1F}">
  <ds:schemaRefs>
    <ds:schemaRef ds:uri="http://schemas.microsoft.com/office/2006/metadata/properties"/>
    <ds:schemaRef ds:uri="http://schemas.microsoft.com/office/infopath/2007/PartnerControls"/>
    <ds:schemaRef ds:uri="556544d8-f53b-4cbe-a9cb-6ca52ff39be4"/>
    <ds:schemaRef ds:uri="627703c2-4e28-4e4f-89f0-abd05910ea24"/>
  </ds:schemaRefs>
</ds:datastoreItem>
</file>

<file path=customXml/itemProps2.xml><?xml version="1.0" encoding="utf-8"?>
<ds:datastoreItem xmlns:ds="http://schemas.openxmlformats.org/officeDocument/2006/customXml" ds:itemID="{394103A2-873E-4A38-AD8B-BA13F2884AA9}">
  <ds:schemaRefs>
    <ds:schemaRef ds:uri="http://schemas.microsoft.com/sharepoint/v3/contenttype/forms"/>
  </ds:schemaRefs>
</ds:datastoreItem>
</file>

<file path=customXml/itemProps3.xml><?xml version="1.0" encoding="utf-8"?>
<ds:datastoreItem xmlns:ds="http://schemas.openxmlformats.org/officeDocument/2006/customXml" ds:itemID="{8C0FFC75-73CA-43B1-9878-E01D9EDC994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6544d8-f53b-4cbe-a9cb-6ca52ff39be4"/>
    <ds:schemaRef ds:uri="627703c2-4e28-4e4f-89f0-abd05910ea2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2</Pages>
  <Words>738</Words>
  <Characters>4064</Characters>
  <Application>Microsoft Office Word</Application>
  <DocSecurity>0</DocSecurity>
  <Lines>33</Lines>
  <Paragraphs>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Apache POI</dc:creator>
  <cp:lastModifiedBy>Erwan Beauvineau</cp:lastModifiedBy>
  <cp:revision>6</cp:revision>
  <cp:lastPrinted>2024-05-27T11:47:00Z</cp:lastPrinted>
  <dcterms:created xsi:type="dcterms:W3CDTF">2024-05-27T11:48:00Z</dcterms:created>
  <dcterms:modified xsi:type="dcterms:W3CDTF">2024-07-15T07:36:00Z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0x010100AD9555BB4269294F92FEE2186DA4A2D4</vt:lpwstr>
  </property>
  <property fmtid="{D5CDD505-2E9C-101B-9397-08002B2CF9AE}" pid="3" name="MediaServiceImageTags">
    <vt:lpwstr/>
  </property>
</Properties>
</file>