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DA" w:rsidRPr="00A10143" w:rsidRDefault="00942C9C" w:rsidP="00050459">
      <w:pPr>
        <w:pStyle w:val="Titre1"/>
      </w:pPr>
      <w:r w:rsidRPr="00A10143">
        <w:t xml:space="preserve">FICHE N° 1 : </w:t>
      </w:r>
      <w:r w:rsidR="0002351D" w:rsidRPr="00A10143">
        <w:t>PR</w:t>
      </w:r>
      <w:r w:rsidR="00733430" w:rsidRPr="00A10143">
        <w:t>É</w:t>
      </w:r>
      <w:r w:rsidR="0002351D" w:rsidRPr="00A10143">
        <w:t>SENTATION</w:t>
      </w:r>
      <w:r w:rsidRPr="00A10143">
        <w:t xml:space="preserve"> </w:t>
      </w:r>
      <w:r w:rsidR="009B77C1" w:rsidRPr="00A10143">
        <w:t>DU SUJET</w:t>
      </w:r>
      <w:r w:rsidR="00B9102C" w:rsidRPr="00A10143">
        <w:t xml:space="preserve"> DESTINÉE À L’EXAMINATEUR</w:t>
      </w:r>
    </w:p>
    <w:p w:rsidR="00681635" w:rsidRDefault="00681635" w:rsidP="00681635"/>
    <w:p w:rsidR="00681635" w:rsidRDefault="00681635" w:rsidP="00681635">
      <w:pPr>
        <w:pBdr>
          <w:top w:val="single" w:sz="4" w:space="6" w:color="auto" w:shadow="1"/>
          <w:left w:val="single" w:sz="4" w:space="4" w:color="auto" w:shadow="1"/>
          <w:bottom w:val="single" w:sz="4" w:space="6" w:color="auto" w:shadow="1"/>
          <w:right w:val="single" w:sz="4" w:space="4" w:color="auto" w:shadow="1"/>
        </w:pBdr>
        <w:ind w:left="1418" w:hanging="1418"/>
      </w:pPr>
      <w:r w:rsidRPr="00981046">
        <w:rPr>
          <w:b/>
          <w:u w:val="single"/>
        </w:rPr>
        <w:t>ATTENTION</w:t>
      </w:r>
      <w:r>
        <w:t xml:space="preserve">  </w:t>
      </w:r>
      <w:r>
        <w:tab/>
        <w:t xml:space="preserve">Ce sujet n’est </w:t>
      </w:r>
      <w:r w:rsidRPr="0063261F">
        <w:rPr>
          <w:b/>
          <w:u w:val="single"/>
        </w:rPr>
        <w:t>pas</w:t>
      </w:r>
      <w:r w:rsidRPr="0063261F">
        <w:rPr>
          <w:b/>
        </w:rPr>
        <w:t xml:space="preserve"> destiné à être utilisé dans le cadre des épreuves de contrôle du baccalauréat</w:t>
      </w:r>
      <w:r>
        <w:t xml:space="preserve">. Il s’agit de l’un des neuf </w:t>
      </w:r>
      <w:r w:rsidRPr="0063261F">
        <w:rPr>
          <w:b/>
          <w:u w:val="single"/>
        </w:rPr>
        <w:t>exemples</w:t>
      </w:r>
      <w:r>
        <w:t xml:space="preserve"> d’évaluation à l’oral du baccalauréat </w:t>
      </w:r>
      <w:r w:rsidRPr="0063261F">
        <w:t>proposés sur le site de l’académie de Versailles</w:t>
      </w:r>
      <w:r>
        <w:t xml:space="preserve">. Ces neufs sujets peuvent être utilisés pendant l’année en classe, notamment dans le cadre de l’accompagnement personnalisé. La maquette </w:t>
      </w:r>
      <w:proofErr w:type="gramStart"/>
      <w:r>
        <w:t>les accompagnant</w:t>
      </w:r>
      <w:proofErr w:type="gramEnd"/>
      <w:r>
        <w:t xml:space="preserve"> permet aux examinateurs qui le souhaitent de construire des sujets utilisables lors de l’épreuve orale de contrôle du baccalauréat. </w:t>
      </w:r>
    </w:p>
    <w:p w:rsidR="00D604DA" w:rsidRPr="00A10143" w:rsidRDefault="009B77C1" w:rsidP="002569E1">
      <w:pPr>
        <w:spacing w:before="360" w:after="360"/>
        <w:ind w:left="567" w:right="559"/>
        <w:jc w:val="center"/>
        <w:rPr>
          <w:b/>
          <w:sz w:val="22"/>
          <w:u w:val="single"/>
        </w:rPr>
      </w:pPr>
      <w:r w:rsidRPr="00A10143">
        <w:rPr>
          <w:b/>
          <w:sz w:val="22"/>
          <w:u w:val="single"/>
        </w:rPr>
        <w:t>Rappel du c</w:t>
      </w:r>
      <w:r w:rsidR="005725E5" w:rsidRPr="00A10143">
        <w:rPr>
          <w:b/>
          <w:sz w:val="22"/>
          <w:u w:val="single"/>
        </w:rPr>
        <w:t>adre réglementaire : m</w:t>
      </w:r>
      <w:r w:rsidR="00D604DA" w:rsidRPr="00A10143">
        <w:rPr>
          <w:b/>
          <w:sz w:val="22"/>
          <w:u w:val="single"/>
        </w:rPr>
        <w:t>odalités de l’épreuve orale de contrôle </w:t>
      </w:r>
      <w:r w:rsidR="002569E1" w:rsidRPr="00A10143">
        <w:rPr>
          <w:b/>
          <w:sz w:val="22"/>
          <w:u w:val="single"/>
        </w:rPr>
        <w:br/>
      </w:r>
      <w:r w:rsidR="004773ED" w:rsidRPr="00A10143">
        <w:rPr>
          <w:b/>
          <w:sz w:val="22"/>
          <w:u w:val="single"/>
        </w:rPr>
        <w:t>(</w:t>
      </w:r>
      <w:r w:rsidR="002A6729" w:rsidRPr="00A10143">
        <w:rPr>
          <w:b/>
          <w:sz w:val="22"/>
          <w:u w:val="single"/>
        </w:rPr>
        <w:t xml:space="preserve">extrait de la </w:t>
      </w:r>
      <w:r w:rsidR="005725E5" w:rsidRPr="00A10143">
        <w:rPr>
          <w:b/>
          <w:sz w:val="22"/>
          <w:u w:val="single"/>
        </w:rPr>
        <w:t>note de service n° 2011-154 du 3-10-2011</w:t>
      </w:r>
      <w:r w:rsidR="004773ED" w:rsidRPr="00A10143">
        <w:rPr>
          <w:b/>
          <w:sz w:val="22"/>
          <w:u w:val="single"/>
        </w:rPr>
        <w:t>)</w:t>
      </w:r>
    </w:p>
    <w:p w:rsidR="00F00354" w:rsidRPr="00A10143" w:rsidRDefault="00D604DA" w:rsidP="002569E1">
      <w:pPr>
        <w:ind w:left="567" w:right="559"/>
        <w:rPr>
          <w:rFonts w:eastAsia="Times New Roman" w:cs="Arial"/>
          <w:szCs w:val="20"/>
        </w:rPr>
      </w:pPr>
      <w:r w:rsidRPr="00A10143">
        <w:rPr>
          <w:rFonts w:eastAsia="Times New Roman" w:cs="Arial"/>
          <w:szCs w:val="20"/>
        </w:rPr>
        <w:t>Durée : 20 minutes</w:t>
      </w:r>
      <w:r w:rsidR="0096203F" w:rsidRPr="00A10143">
        <w:rPr>
          <w:rFonts w:eastAsia="Times New Roman" w:cs="Arial"/>
          <w:szCs w:val="20"/>
        </w:rPr>
        <w:t xml:space="preserve">. </w:t>
      </w:r>
      <w:r w:rsidRPr="00A10143">
        <w:rPr>
          <w:rFonts w:eastAsia="Times New Roman" w:cs="Arial"/>
          <w:szCs w:val="20"/>
        </w:rPr>
        <w:t>Temps de préparation : 20 minutes</w:t>
      </w:r>
      <w:r w:rsidR="00733430" w:rsidRPr="00A10143">
        <w:rPr>
          <w:rFonts w:eastAsia="Times New Roman" w:cs="Arial"/>
          <w:szCs w:val="20"/>
        </w:rPr>
        <w:t>.</w:t>
      </w:r>
    </w:p>
    <w:p w:rsidR="005725E5" w:rsidRPr="00A10143" w:rsidRDefault="00D604DA" w:rsidP="002569E1">
      <w:pPr>
        <w:ind w:left="567" w:right="559"/>
        <w:rPr>
          <w:rFonts w:eastAsia="Times New Roman" w:cs="Arial"/>
          <w:szCs w:val="20"/>
        </w:rPr>
      </w:pPr>
      <w:r w:rsidRPr="00A10143">
        <w:rPr>
          <w:rFonts w:eastAsia="Times New Roman" w:cs="Arial"/>
          <w:szCs w:val="20"/>
        </w:rPr>
        <w:t>Le candidat tire au sort un sujet comportant deux questions, portant sur deux domaines de natures différentes du programme, et doit traiter les deux questions. Pour les candidats qui n'ont pas choisi l'enseignement de spécialité, les questions portent sur le programme d'enseignement spécifique. Pour les candidats qui ont choisi l'enseignement de spécialité, une question porte sur le programme de l'enseignement spécifique et l'autre sur le programme de l'enseignement de spécialité. Les notions et compétences mobilisées dans les programmes des classes antérieures à la classe de terminale mais non reprises dans celle-ci doivent être assimilées par les candidats qui peuvent avoir à les utiliser.</w:t>
      </w:r>
    </w:p>
    <w:p w:rsidR="00F00354" w:rsidRPr="00A10143" w:rsidRDefault="00D604DA" w:rsidP="002569E1">
      <w:pPr>
        <w:ind w:left="567" w:right="559"/>
        <w:rPr>
          <w:rFonts w:eastAsia="Times New Roman" w:cs="Arial"/>
          <w:szCs w:val="20"/>
        </w:rPr>
      </w:pPr>
      <w:r w:rsidRPr="00A10143">
        <w:rPr>
          <w:rFonts w:eastAsia="Times New Roman" w:cs="Arial"/>
          <w:szCs w:val="20"/>
        </w:rPr>
        <w:t>En fonction du contenu du sujet tiré au sort par le candidat, l'examinateur décide si l'usage d'une calculatrice est autorisé ou interdit.</w:t>
      </w:r>
    </w:p>
    <w:p w:rsidR="00D604DA" w:rsidRPr="00A10143" w:rsidRDefault="00D604DA" w:rsidP="002569E1">
      <w:pPr>
        <w:ind w:left="567" w:right="559"/>
        <w:rPr>
          <w:rFonts w:eastAsia="Times New Roman" w:cs="Arial"/>
          <w:szCs w:val="20"/>
        </w:rPr>
      </w:pPr>
      <w:r w:rsidRPr="00A10143">
        <w:rPr>
          <w:rFonts w:eastAsia="Times New Roman" w:cs="Arial"/>
          <w:szCs w:val="20"/>
        </w:rPr>
        <w:t>Cette épreuve a lieu dans une salle comportant du matériel de physique-chimie afin que des questions puissent être posées sur le matériel expérimental et son utilisation, sans que le candidat soit conduit à manipuler.</w:t>
      </w:r>
    </w:p>
    <w:p w:rsidR="002859B4" w:rsidRDefault="002859B4" w:rsidP="002859B4">
      <w:pPr>
        <w:ind w:left="567" w:right="559"/>
        <w:rPr>
          <w:rFonts w:eastAsia="Times New Roman" w:cs="Arial"/>
          <w:szCs w:val="20"/>
        </w:rPr>
      </w:pPr>
    </w:p>
    <w:p w:rsidR="002859B4" w:rsidRPr="00E95CDC" w:rsidRDefault="002859B4" w:rsidP="002859B4">
      <w:pPr>
        <w:ind w:left="567" w:right="559"/>
        <w:rPr>
          <w:rFonts w:eastAsia="Times New Roman" w:cs="Arial"/>
          <w:szCs w:val="20"/>
        </w:rPr>
      </w:pPr>
      <w:r w:rsidRPr="00E95CDC">
        <w:rPr>
          <w:rFonts w:eastAsia="Times New Roman" w:cs="Arial"/>
          <w:szCs w:val="20"/>
        </w:rPr>
        <w:t>Les modalités de l’épreuve décrites ci-après</w:t>
      </w:r>
      <w:r>
        <w:rPr>
          <w:rFonts w:eastAsia="Times New Roman" w:cs="Arial"/>
          <w:szCs w:val="20"/>
        </w:rPr>
        <w:t xml:space="preserve"> - notamment</w:t>
      </w:r>
      <w:r w:rsidRPr="00E95CDC">
        <w:rPr>
          <w:rFonts w:eastAsia="Times New Roman" w:cs="Arial"/>
          <w:szCs w:val="20"/>
        </w:rPr>
        <w:t xml:space="preserve"> l’évaluation </w:t>
      </w:r>
      <w:r>
        <w:rPr>
          <w:rFonts w:eastAsia="Times New Roman" w:cs="Arial"/>
          <w:szCs w:val="20"/>
        </w:rPr>
        <w:t xml:space="preserve">de la maîtrise </w:t>
      </w:r>
      <w:r w:rsidRPr="00E95CDC">
        <w:rPr>
          <w:rFonts w:eastAsia="Times New Roman" w:cs="Arial"/>
          <w:szCs w:val="20"/>
        </w:rPr>
        <w:t xml:space="preserve">des compétences </w:t>
      </w:r>
      <w:r w:rsidRPr="00E95CDC">
        <w:rPr>
          <w:rFonts w:eastAsia="Times New Roman" w:cs="Arial"/>
          <w:i/>
          <w:szCs w:val="20"/>
        </w:rPr>
        <w:t>s’approprier</w:t>
      </w:r>
      <w:r w:rsidRPr="00E95CDC">
        <w:rPr>
          <w:rFonts w:eastAsia="Times New Roman" w:cs="Arial"/>
          <w:szCs w:val="20"/>
        </w:rPr>
        <w:t xml:space="preserve">, </w:t>
      </w:r>
      <w:r w:rsidRPr="00E95CDC">
        <w:rPr>
          <w:rFonts w:eastAsia="Times New Roman" w:cs="Arial"/>
          <w:i/>
          <w:szCs w:val="20"/>
        </w:rPr>
        <w:t>analyser</w:t>
      </w:r>
      <w:r w:rsidRPr="00E95CDC">
        <w:rPr>
          <w:rFonts w:eastAsia="Times New Roman" w:cs="Arial"/>
          <w:szCs w:val="20"/>
        </w:rPr>
        <w:t xml:space="preserve">, </w:t>
      </w:r>
      <w:r w:rsidRPr="00E95CDC">
        <w:rPr>
          <w:rFonts w:eastAsia="Times New Roman" w:cs="Arial"/>
          <w:i/>
          <w:szCs w:val="20"/>
        </w:rPr>
        <w:t>réaliser</w:t>
      </w:r>
      <w:r w:rsidRPr="00E95CDC">
        <w:rPr>
          <w:rFonts w:eastAsia="Times New Roman" w:cs="Arial"/>
          <w:szCs w:val="20"/>
        </w:rPr>
        <w:t xml:space="preserve">, </w:t>
      </w:r>
      <w:r w:rsidRPr="00E95CDC">
        <w:rPr>
          <w:rFonts w:eastAsia="Times New Roman" w:cs="Arial"/>
          <w:i/>
          <w:szCs w:val="20"/>
        </w:rPr>
        <w:t>valider</w:t>
      </w:r>
      <w:r w:rsidRPr="00E95CDC">
        <w:rPr>
          <w:rFonts w:eastAsia="Times New Roman" w:cs="Arial"/>
          <w:szCs w:val="20"/>
        </w:rPr>
        <w:t xml:space="preserve"> et </w:t>
      </w:r>
      <w:r w:rsidRPr="00E95CDC">
        <w:rPr>
          <w:rFonts w:eastAsia="Times New Roman" w:cs="Arial"/>
          <w:i/>
          <w:szCs w:val="20"/>
        </w:rPr>
        <w:t>communiquer</w:t>
      </w:r>
      <w:r w:rsidRPr="00E95CDC">
        <w:rPr>
          <w:rFonts w:eastAsia="Times New Roman" w:cs="Arial"/>
          <w:szCs w:val="20"/>
        </w:rPr>
        <w:t xml:space="preserve"> - constituent </w:t>
      </w:r>
      <w:r w:rsidRPr="00E95CDC">
        <w:rPr>
          <w:rFonts w:eastAsia="Times New Roman" w:cs="Arial"/>
          <w:b/>
          <w:szCs w:val="20"/>
          <w:u w:val="single"/>
        </w:rPr>
        <w:t>l’une des possibilités</w:t>
      </w:r>
      <w:r w:rsidRPr="00E95CDC">
        <w:rPr>
          <w:rFonts w:eastAsia="Times New Roman" w:cs="Arial"/>
          <w:szCs w:val="20"/>
        </w:rPr>
        <w:t xml:space="preserve"> s’inscrivant dans ce cadre réglementaire. </w:t>
      </w:r>
    </w:p>
    <w:p w:rsidR="002859B4" w:rsidRPr="006A2753" w:rsidRDefault="002859B4" w:rsidP="002859B4">
      <w:pPr>
        <w:spacing w:before="360" w:after="360"/>
        <w:ind w:left="567" w:right="559"/>
        <w:jc w:val="center"/>
        <w:rPr>
          <w:b/>
          <w:sz w:val="22"/>
          <w:u w:val="single"/>
        </w:rPr>
      </w:pPr>
      <w:r w:rsidRPr="006A2753">
        <w:rPr>
          <w:b/>
          <w:sz w:val="22"/>
          <w:u w:val="single"/>
        </w:rPr>
        <w:t>Présentation de l’épreuve</w:t>
      </w:r>
    </w:p>
    <w:p w:rsidR="00163E6E" w:rsidRPr="00A10143" w:rsidRDefault="00FF1383" w:rsidP="002569E1">
      <w:pPr>
        <w:ind w:left="567" w:right="559"/>
      </w:pPr>
      <w:bookmarkStart w:id="0" w:name="_GoBack"/>
      <w:bookmarkEnd w:id="0"/>
      <w:r w:rsidRPr="00A10143">
        <w:t xml:space="preserve">Le sujet </w:t>
      </w:r>
      <w:r w:rsidR="002A0E0E" w:rsidRPr="00A10143">
        <w:t xml:space="preserve">comporte </w:t>
      </w:r>
      <w:r w:rsidR="00F00354" w:rsidRPr="00A10143">
        <w:t>deux</w:t>
      </w:r>
      <w:r w:rsidRPr="00A10143">
        <w:t xml:space="preserve"> </w:t>
      </w:r>
      <w:r w:rsidR="002A0E0E" w:rsidRPr="00A10143">
        <w:t>questions</w:t>
      </w:r>
      <w:r w:rsidR="0096203F" w:rsidRPr="00A10143">
        <w:t>,</w:t>
      </w:r>
      <w:r w:rsidR="00F00354" w:rsidRPr="00A10143">
        <w:t xml:space="preserve"> </w:t>
      </w:r>
      <w:r w:rsidR="002A0E0E" w:rsidRPr="00A10143">
        <w:t xml:space="preserve">traitant de </w:t>
      </w:r>
      <w:r w:rsidR="00F00354" w:rsidRPr="00A10143">
        <w:t xml:space="preserve">notions de physique et </w:t>
      </w:r>
      <w:r w:rsidRPr="00A10143">
        <w:t>de chimie.</w:t>
      </w:r>
      <w:r w:rsidR="0096203F" w:rsidRPr="00A10143">
        <w:t xml:space="preserve"> </w:t>
      </w:r>
      <w:r w:rsidR="002A0E0E" w:rsidRPr="00A10143">
        <w:t>La</w:t>
      </w:r>
      <w:r w:rsidR="0096203F" w:rsidRPr="00A10143">
        <w:t xml:space="preserve"> </w:t>
      </w:r>
      <w:r w:rsidR="002A0E0E" w:rsidRPr="00A10143">
        <w:t xml:space="preserve">première question </w:t>
      </w:r>
      <w:r w:rsidR="00431BDC" w:rsidRPr="00A10143">
        <w:t xml:space="preserve">mobilise une </w:t>
      </w:r>
      <w:r w:rsidR="005725E5" w:rsidRPr="00A10143">
        <w:t xml:space="preserve">restitution </w:t>
      </w:r>
      <w:r w:rsidR="0044107B" w:rsidRPr="00A10143">
        <w:t xml:space="preserve">de connaissances, éventuellement </w:t>
      </w:r>
      <w:r w:rsidR="00431BDC" w:rsidRPr="00A10143">
        <w:t>la réalisation de tâches simples</w:t>
      </w:r>
      <w:r w:rsidR="0096203F" w:rsidRPr="00A10143">
        <w:t xml:space="preserve"> </w:t>
      </w:r>
      <w:r w:rsidR="00431BDC" w:rsidRPr="00A10143">
        <w:t xml:space="preserve">(applications directes du cours). </w:t>
      </w:r>
      <w:r w:rsidR="0096203F" w:rsidRPr="00A10143">
        <w:t>L</w:t>
      </w:r>
      <w:r w:rsidR="002A0E0E" w:rsidRPr="00A10143">
        <w:t>a seconde question</w:t>
      </w:r>
      <w:r w:rsidR="0096203F" w:rsidRPr="00A10143">
        <w:t xml:space="preserve">, sans être trop complexe, est formulée de manière plus </w:t>
      </w:r>
      <w:r w:rsidR="007132CC" w:rsidRPr="00A10143">
        <w:t>ouverte</w:t>
      </w:r>
      <w:r w:rsidR="0096203F" w:rsidRPr="00A10143">
        <w:t xml:space="preserve"> et mobilise d’autres compétences</w:t>
      </w:r>
      <w:r w:rsidR="007132CC" w:rsidRPr="00A10143">
        <w:t xml:space="preserve">. </w:t>
      </w:r>
    </w:p>
    <w:p w:rsidR="00642714" w:rsidRPr="00A10143" w:rsidRDefault="0096203F" w:rsidP="002569E1">
      <w:pPr>
        <w:ind w:left="567" w:right="559"/>
      </w:pPr>
      <w:r w:rsidRPr="00A10143">
        <w:t xml:space="preserve">Un dialogue s’établit entre </w:t>
      </w:r>
      <w:r w:rsidR="002A0E0E" w:rsidRPr="00A10143">
        <w:t>le candidat et l’examinateur</w:t>
      </w:r>
      <w:r w:rsidR="005D783C" w:rsidRPr="00A10143">
        <w:t xml:space="preserve"> ; ce dernier peut être amené à </w:t>
      </w:r>
      <w:r w:rsidRPr="00A10143">
        <w:t xml:space="preserve">poser des questions et </w:t>
      </w:r>
      <w:r w:rsidR="005D783C" w:rsidRPr="00A10143">
        <w:t xml:space="preserve">à apporter </w:t>
      </w:r>
      <w:r w:rsidRPr="00A10143">
        <w:t>des éléments d’aide.</w:t>
      </w:r>
    </w:p>
    <w:p w:rsidR="00642714" w:rsidRPr="00A10143" w:rsidRDefault="0044107B" w:rsidP="002569E1">
      <w:pPr>
        <w:spacing w:before="360" w:after="360"/>
        <w:ind w:left="567" w:right="559"/>
        <w:jc w:val="center"/>
        <w:rPr>
          <w:b/>
          <w:sz w:val="22"/>
          <w:u w:val="single"/>
        </w:rPr>
      </w:pPr>
      <w:r w:rsidRPr="00A10143">
        <w:rPr>
          <w:b/>
          <w:sz w:val="22"/>
          <w:u w:val="single"/>
        </w:rPr>
        <w:t>Évaluation d</w:t>
      </w:r>
      <w:r w:rsidR="00733430" w:rsidRPr="00A10143">
        <w:rPr>
          <w:b/>
          <w:sz w:val="22"/>
          <w:u w:val="single"/>
        </w:rPr>
        <w:t>u candidat</w:t>
      </w:r>
    </w:p>
    <w:p w:rsidR="00AC6D9C" w:rsidRPr="00A10143" w:rsidRDefault="0044107B" w:rsidP="002569E1">
      <w:pPr>
        <w:ind w:left="567" w:right="559"/>
        <w:rPr>
          <w:szCs w:val="20"/>
        </w:rPr>
      </w:pPr>
      <w:r w:rsidRPr="00A10143">
        <w:rPr>
          <w:szCs w:val="20"/>
        </w:rPr>
        <w:t xml:space="preserve">L’ensemble des deux </w:t>
      </w:r>
      <w:r w:rsidR="007B178E" w:rsidRPr="00A10143">
        <w:rPr>
          <w:szCs w:val="20"/>
        </w:rPr>
        <w:t>questions</w:t>
      </w:r>
      <w:r w:rsidRPr="00A10143">
        <w:rPr>
          <w:szCs w:val="20"/>
        </w:rPr>
        <w:t xml:space="preserve"> permet d’évaluer</w:t>
      </w:r>
      <w:r w:rsidR="0024102A" w:rsidRPr="00A10143">
        <w:rPr>
          <w:szCs w:val="20"/>
        </w:rPr>
        <w:t xml:space="preserve"> d’une part, </w:t>
      </w:r>
      <w:r w:rsidR="007C093E" w:rsidRPr="00A10143">
        <w:rPr>
          <w:b/>
          <w:szCs w:val="20"/>
        </w:rPr>
        <w:t>sur 17 points</w:t>
      </w:r>
      <w:r w:rsidR="00AC6D9C" w:rsidRPr="00A10143">
        <w:rPr>
          <w:szCs w:val="20"/>
        </w:rPr>
        <w:t> :</w:t>
      </w:r>
    </w:p>
    <w:p w:rsidR="00AC6D9C" w:rsidRPr="00A10143" w:rsidRDefault="00AC6D9C" w:rsidP="002569E1">
      <w:pPr>
        <w:ind w:left="851" w:right="559" w:hanging="284"/>
        <w:rPr>
          <w:szCs w:val="20"/>
        </w:rPr>
      </w:pPr>
      <w:r w:rsidRPr="00A10143">
        <w:rPr>
          <w:szCs w:val="20"/>
        </w:rPr>
        <w:t>-</w:t>
      </w:r>
      <w:r w:rsidRPr="00A10143">
        <w:rPr>
          <w:szCs w:val="20"/>
        </w:rPr>
        <w:tab/>
      </w:r>
      <w:r w:rsidR="0044107B" w:rsidRPr="00A10143">
        <w:rPr>
          <w:szCs w:val="20"/>
        </w:rPr>
        <w:t>la</w:t>
      </w:r>
      <w:r w:rsidR="00414E0F" w:rsidRPr="00A10143">
        <w:rPr>
          <w:szCs w:val="20"/>
        </w:rPr>
        <w:t xml:space="preserve"> </w:t>
      </w:r>
      <w:r w:rsidR="00414E0F" w:rsidRPr="00A10143">
        <w:rPr>
          <w:i/>
          <w:szCs w:val="20"/>
        </w:rPr>
        <w:t xml:space="preserve">restitution </w:t>
      </w:r>
      <w:r w:rsidR="0044107B" w:rsidRPr="00A10143">
        <w:rPr>
          <w:i/>
          <w:szCs w:val="20"/>
        </w:rPr>
        <w:t xml:space="preserve">de </w:t>
      </w:r>
      <w:r w:rsidR="00414E0F" w:rsidRPr="00A10143">
        <w:rPr>
          <w:i/>
          <w:szCs w:val="20"/>
        </w:rPr>
        <w:t>connaissances</w:t>
      </w:r>
      <w:r w:rsidR="005D783C" w:rsidRPr="00A10143">
        <w:rPr>
          <w:szCs w:val="20"/>
        </w:rPr>
        <w:t xml:space="preserve"> (RCO) </w:t>
      </w:r>
      <w:r w:rsidR="00733430" w:rsidRPr="00A10143">
        <w:rPr>
          <w:szCs w:val="20"/>
        </w:rPr>
        <w:t>par le candidat</w:t>
      </w:r>
      <w:r w:rsidR="005D783C" w:rsidRPr="00A10143">
        <w:rPr>
          <w:szCs w:val="20"/>
        </w:rPr>
        <w:t>,</w:t>
      </w:r>
    </w:p>
    <w:p w:rsidR="00AC6D9C" w:rsidRPr="00A10143" w:rsidRDefault="00AC6D9C" w:rsidP="002569E1">
      <w:pPr>
        <w:ind w:left="851" w:right="559" w:hanging="284"/>
        <w:rPr>
          <w:szCs w:val="20"/>
        </w:rPr>
      </w:pPr>
      <w:r w:rsidRPr="00A10143">
        <w:rPr>
          <w:szCs w:val="20"/>
        </w:rPr>
        <w:t>-</w:t>
      </w:r>
      <w:r w:rsidRPr="00A10143">
        <w:rPr>
          <w:szCs w:val="20"/>
        </w:rPr>
        <w:tab/>
      </w:r>
      <w:r w:rsidR="005D783C" w:rsidRPr="00A10143">
        <w:rPr>
          <w:szCs w:val="20"/>
        </w:rPr>
        <w:t xml:space="preserve">son niveau de maîtrise </w:t>
      </w:r>
      <w:r w:rsidR="00B9102C" w:rsidRPr="00A10143">
        <w:rPr>
          <w:szCs w:val="20"/>
        </w:rPr>
        <w:t xml:space="preserve">de deux </w:t>
      </w:r>
      <w:r w:rsidRPr="00A10143">
        <w:rPr>
          <w:szCs w:val="20"/>
        </w:rPr>
        <w:t xml:space="preserve">compétences parmi </w:t>
      </w:r>
      <w:r w:rsidR="00D55CD2" w:rsidRPr="00A10143">
        <w:rPr>
          <w:i/>
          <w:szCs w:val="20"/>
        </w:rPr>
        <w:t>s’</w:t>
      </w:r>
      <w:r w:rsidR="00414E0F" w:rsidRPr="00A10143">
        <w:rPr>
          <w:i/>
          <w:szCs w:val="20"/>
        </w:rPr>
        <w:t>approprier</w:t>
      </w:r>
      <w:r w:rsidR="005D783C" w:rsidRPr="00A10143">
        <w:rPr>
          <w:szCs w:val="20"/>
        </w:rPr>
        <w:t xml:space="preserve"> (APP)</w:t>
      </w:r>
      <w:r w:rsidR="00D55CD2" w:rsidRPr="00A10143">
        <w:rPr>
          <w:szCs w:val="20"/>
        </w:rPr>
        <w:t xml:space="preserve">, </w:t>
      </w:r>
      <w:r w:rsidR="00414E0F" w:rsidRPr="00A10143">
        <w:rPr>
          <w:i/>
          <w:szCs w:val="20"/>
        </w:rPr>
        <w:t>analyser</w:t>
      </w:r>
      <w:r w:rsidR="005D783C" w:rsidRPr="00A10143">
        <w:rPr>
          <w:szCs w:val="20"/>
        </w:rPr>
        <w:t xml:space="preserve"> (ANA)</w:t>
      </w:r>
      <w:r w:rsidR="00D55CD2" w:rsidRPr="00A10143">
        <w:rPr>
          <w:szCs w:val="20"/>
        </w:rPr>
        <w:t xml:space="preserve">, </w:t>
      </w:r>
      <w:r w:rsidR="00414E0F" w:rsidRPr="00A10143">
        <w:rPr>
          <w:i/>
          <w:szCs w:val="20"/>
        </w:rPr>
        <w:t>réaliser</w:t>
      </w:r>
      <w:r w:rsidR="00163E6E" w:rsidRPr="00A10143">
        <w:rPr>
          <w:szCs w:val="20"/>
        </w:rPr>
        <w:t> </w:t>
      </w:r>
      <w:r w:rsidR="005D783C" w:rsidRPr="00A10143">
        <w:rPr>
          <w:szCs w:val="20"/>
        </w:rPr>
        <w:t xml:space="preserve">(RÉA) </w:t>
      </w:r>
      <w:r w:rsidR="00D55CD2" w:rsidRPr="00A10143">
        <w:rPr>
          <w:szCs w:val="20"/>
        </w:rPr>
        <w:t xml:space="preserve">et </w:t>
      </w:r>
      <w:r w:rsidR="00414E0F" w:rsidRPr="00A10143">
        <w:rPr>
          <w:i/>
          <w:szCs w:val="20"/>
        </w:rPr>
        <w:t>valider</w:t>
      </w:r>
      <w:r w:rsidR="005D783C" w:rsidRPr="00A10143">
        <w:rPr>
          <w:szCs w:val="20"/>
        </w:rPr>
        <w:t xml:space="preserve"> (VAL)</w:t>
      </w:r>
      <w:r w:rsidR="00B23DB6" w:rsidRPr="00A10143">
        <w:rPr>
          <w:szCs w:val="20"/>
        </w:rPr>
        <w:t>.</w:t>
      </w:r>
    </w:p>
    <w:p w:rsidR="0024102A" w:rsidRPr="00A10143" w:rsidRDefault="0024102A" w:rsidP="002569E1">
      <w:pPr>
        <w:ind w:left="567" w:right="559"/>
        <w:rPr>
          <w:szCs w:val="20"/>
        </w:rPr>
      </w:pPr>
    </w:p>
    <w:p w:rsidR="005A5EBB" w:rsidRPr="00A10143" w:rsidRDefault="005A5EBB" w:rsidP="002569E1">
      <w:pPr>
        <w:ind w:left="567" w:right="559"/>
        <w:rPr>
          <w:szCs w:val="20"/>
        </w:rPr>
      </w:pPr>
      <w:r w:rsidRPr="00A10143">
        <w:rPr>
          <w:szCs w:val="20"/>
        </w:rPr>
        <w:t>L’ensemble des deux questions permet d’évaluer</w:t>
      </w:r>
      <w:r w:rsidR="0024102A" w:rsidRPr="00A10143">
        <w:rPr>
          <w:szCs w:val="20"/>
        </w:rPr>
        <w:t xml:space="preserve"> d’autre part</w:t>
      </w:r>
      <w:r w:rsidRPr="00A10143">
        <w:rPr>
          <w:szCs w:val="20"/>
        </w:rPr>
        <w:t xml:space="preserve">, </w:t>
      </w:r>
      <w:r w:rsidRPr="00A10143">
        <w:rPr>
          <w:b/>
          <w:szCs w:val="20"/>
        </w:rPr>
        <w:t xml:space="preserve">sur </w:t>
      </w:r>
      <w:r w:rsidR="002E0AB1" w:rsidRPr="00A10143">
        <w:rPr>
          <w:b/>
          <w:szCs w:val="20"/>
        </w:rPr>
        <w:t xml:space="preserve">trois </w:t>
      </w:r>
      <w:r w:rsidRPr="00A10143">
        <w:rPr>
          <w:b/>
          <w:szCs w:val="20"/>
        </w:rPr>
        <w:t xml:space="preserve">points, </w:t>
      </w:r>
      <w:r w:rsidRPr="00A10143">
        <w:rPr>
          <w:szCs w:val="20"/>
        </w:rPr>
        <w:t xml:space="preserve">la capacité du candidat à </w:t>
      </w:r>
      <w:r w:rsidRPr="00A10143">
        <w:rPr>
          <w:i/>
          <w:szCs w:val="20"/>
        </w:rPr>
        <w:t>communiquer</w:t>
      </w:r>
      <w:r w:rsidRPr="00A10143">
        <w:rPr>
          <w:szCs w:val="20"/>
        </w:rPr>
        <w:t xml:space="preserve"> à l’oral (COM). Les critères retenus pour l’évaluation sont les suivants :</w:t>
      </w:r>
    </w:p>
    <w:p w:rsidR="005A5EBB" w:rsidRPr="00A10143" w:rsidRDefault="005A5EBB" w:rsidP="002569E1">
      <w:pPr>
        <w:pStyle w:val="Paragraphedeliste"/>
        <w:numPr>
          <w:ilvl w:val="0"/>
          <w:numId w:val="5"/>
        </w:numPr>
        <w:ind w:left="993" w:right="559"/>
      </w:pPr>
      <w:r w:rsidRPr="00A10143">
        <w:t>la capacité du candidat à s’exprimer en utilisant une syntaxe claire,</w:t>
      </w:r>
    </w:p>
    <w:p w:rsidR="005A5EBB" w:rsidRPr="00A10143" w:rsidRDefault="005A5EBB" w:rsidP="002569E1">
      <w:pPr>
        <w:pStyle w:val="Paragraphedeliste"/>
        <w:numPr>
          <w:ilvl w:val="0"/>
          <w:numId w:val="5"/>
        </w:numPr>
        <w:ind w:left="993" w:right="559"/>
      </w:pPr>
      <w:r w:rsidRPr="00A10143">
        <w:t>la capacité du candidat à employer un vocabulaire scientifique adapté,</w:t>
      </w:r>
    </w:p>
    <w:p w:rsidR="005A5EBB" w:rsidRPr="00A10143" w:rsidRDefault="005A5EBB" w:rsidP="002569E1">
      <w:pPr>
        <w:pStyle w:val="Paragraphedeliste"/>
        <w:numPr>
          <w:ilvl w:val="0"/>
          <w:numId w:val="5"/>
        </w:numPr>
        <w:ind w:left="993" w:right="559"/>
      </w:pPr>
      <w:r w:rsidRPr="00A10143">
        <w:t>la capacité du candidat à organiser son raisonnement et à présenter ses arguments.</w:t>
      </w:r>
    </w:p>
    <w:p w:rsidR="000B16E3" w:rsidRPr="00A10143" w:rsidRDefault="000B16E3" w:rsidP="000B16E3"/>
    <w:p w:rsidR="00050459" w:rsidRPr="00A10143" w:rsidRDefault="00050459">
      <w:pPr>
        <w:spacing w:after="0"/>
        <w:jc w:val="left"/>
        <w:rPr>
          <w:b/>
        </w:rPr>
      </w:pPr>
      <w:r w:rsidRPr="00A10143">
        <w:rPr>
          <w:b/>
        </w:rPr>
        <w:br w:type="page"/>
      </w:r>
    </w:p>
    <w:p w:rsidR="00C47225" w:rsidRPr="00A10143" w:rsidRDefault="00A90624" w:rsidP="005C4CF4">
      <w:pPr>
        <w:pStyle w:val="Titre1"/>
      </w:pPr>
      <w:bookmarkStart w:id="1" w:name="_Toc348952299"/>
      <w:r w:rsidRPr="00A10143">
        <w:lastRenderedPageBreak/>
        <w:t xml:space="preserve">FICHE N° </w:t>
      </w:r>
      <w:r w:rsidR="005C4CF4" w:rsidRPr="00A10143">
        <w:t>2</w:t>
      </w:r>
      <w:r w:rsidRPr="00A10143">
        <w:t xml:space="preserve"> : </w:t>
      </w:r>
      <w:r w:rsidR="00C47225" w:rsidRPr="00A10143">
        <w:t>ÉNONCÉ DESTINÉ AU CANDIDAT</w:t>
      </w:r>
      <w:bookmarkEnd w:id="1"/>
    </w:p>
    <w:p w:rsidR="000D0DFE" w:rsidRPr="00A10143" w:rsidRDefault="000D0DFE" w:rsidP="005C4CF4">
      <w:pPr>
        <w:spacing w:after="0"/>
        <w:rPr>
          <w:rFonts w:cs="Arial"/>
          <w:szCs w:val="20"/>
        </w:rPr>
      </w:pPr>
    </w:p>
    <w:p w:rsidR="005A5EBB" w:rsidRPr="00A10143" w:rsidRDefault="005A5EBB" w:rsidP="00B9102C">
      <w:pPr>
        <w:pBdr>
          <w:top w:val="single" w:sz="4" w:space="1" w:color="auto"/>
          <w:left w:val="single" w:sz="4" w:space="4" w:color="auto"/>
          <w:bottom w:val="single" w:sz="4" w:space="1" w:color="auto"/>
          <w:right w:val="single" w:sz="4" w:space="4" w:color="auto"/>
        </w:pBdr>
        <w:spacing w:after="40"/>
        <w:rPr>
          <w:rFonts w:cs="Arial"/>
          <w:b/>
          <w:szCs w:val="16"/>
        </w:rPr>
      </w:pPr>
      <w:r w:rsidRPr="00A10143">
        <w:rPr>
          <w:rFonts w:cs="Arial"/>
          <w:b/>
          <w:szCs w:val="16"/>
        </w:rPr>
        <w:t>Ce sujet comporte deux exercices.</w:t>
      </w:r>
    </w:p>
    <w:p w:rsidR="005A5EBB" w:rsidRPr="00A1014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A10143">
        <w:rPr>
          <w:rFonts w:cs="Arial"/>
          <w:szCs w:val="16"/>
        </w:rPr>
        <w:t xml:space="preserve">Le candidat dispose de </w:t>
      </w:r>
      <w:r w:rsidRPr="00A10143">
        <w:rPr>
          <w:rFonts w:cs="Arial"/>
          <w:b/>
          <w:szCs w:val="16"/>
        </w:rPr>
        <w:t xml:space="preserve">vingt minutes en autonomie </w:t>
      </w:r>
      <w:r w:rsidRPr="00A10143">
        <w:rPr>
          <w:rFonts w:cs="Arial"/>
          <w:szCs w:val="16"/>
        </w:rPr>
        <w:t xml:space="preserve">pour </w:t>
      </w:r>
      <w:r w:rsidR="000C2C10" w:rsidRPr="00A10143">
        <w:rPr>
          <w:rFonts w:cs="Arial"/>
          <w:szCs w:val="16"/>
        </w:rPr>
        <w:t xml:space="preserve">préparer ses réponses </w:t>
      </w:r>
      <w:r w:rsidRPr="00A10143">
        <w:rPr>
          <w:rFonts w:cs="Arial"/>
          <w:szCs w:val="16"/>
        </w:rPr>
        <w:t xml:space="preserve">aux questions. </w:t>
      </w:r>
      <w:r w:rsidRPr="00A10143">
        <w:rPr>
          <w:rFonts w:cs="Arial"/>
          <w:b/>
          <w:szCs w:val="16"/>
        </w:rPr>
        <w:t>Il ne sera pas pénalisé s’il n’a pas traité la totalité de l’exercice pendant cette phase de préparation</w:t>
      </w:r>
      <w:r w:rsidRPr="00A10143">
        <w:rPr>
          <w:rFonts w:cs="Arial"/>
          <w:szCs w:val="16"/>
        </w:rPr>
        <w:t xml:space="preserve">. </w:t>
      </w:r>
    </w:p>
    <w:p w:rsidR="005A5EBB" w:rsidRPr="00A1014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A10143">
        <w:rPr>
          <w:rFonts w:cs="Arial"/>
          <w:szCs w:val="16"/>
        </w:rPr>
        <w:t>Puis le candidat dispose de vingt minutes pour exposer ses réponses à l’examinateur</w:t>
      </w:r>
      <w:r w:rsidR="00B9102C" w:rsidRPr="00A10143">
        <w:rPr>
          <w:rFonts w:cs="Arial"/>
          <w:szCs w:val="16"/>
        </w:rPr>
        <w:t>, et échanger avec lui</w:t>
      </w:r>
      <w:r w:rsidRPr="00A10143">
        <w:rPr>
          <w:rFonts w:cs="Arial"/>
          <w:szCs w:val="16"/>
        </w:rPr>
        <w:t xml:space="preserve">. </w:t>
      </w:r>
    </w:p>
    <w:p w:rsidR="005A5EBB" w:rsidRPr="00A1014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A10143">
        <w:rPr>
          <w:rFonts w:cs="Arial"/>
          <w:szCs w:val="16"/>
        </w:rPr>
        <w:t>L’usage de la calculatrice</w:t>
      </w:r>
      <w:r w:rsidR="00B9102C" w:rsidRPr="00A10143">
        <w:rPr>
          <w:rFonts w:cs="Arial"/>
          <w:szCs w:val="16"/>
        </w:rPr>
        <w:t xml:space="preserve"> </w:t>
      </w:r>
      <w:r w:rsidR="00B9102C" w:rsidRPr="00A10143">
        <w:rPr>
          <w:rFonts w:cs="Arial"/>
          <w:b/>
          <w:szCs w:val="16"/>
        </w:rPr>
        <w:t xml:space="preserve">n’est </w:t>
      </w:r>
      <w:r w:rsidRPr="00A10143">
        <w:rPr>
          <w:rFonts w:cs="Arial"/>
          <w:b/>
          <w:szCs w:val="16"/>
        </w:rPr>
        <w:t>autorisé</w:t>
      </w:r>
      <w:r w:rsidR="00B9102C" w:rsidRPr="00A10143">
        <w:rPr>
          <w:rFonts w:cs="Arial"/>
          <w:b/>
          <w:szCs w:val="16"/>
        </w:rPr>
        <w:t xml:space="preserve"> que lors du passage devant l'examinateur</w:t>
      </w:r>
      <w:r w:rsidR="00B9102C" w:rsidRPr="00A10143">
        <w:rPr>
          <w:rFonts w:cs="Arial"/>
          <w:szCs w:val="16"/>
        </w:rPr>
        <w:t>.</w:t>
      </w:r>
    </w:p>
    <w:p w:rsidR="005A5EBB" w:rsidRPr="00A10143" w:rsidRDefault="005A5EBB" w:rsidP="005A5EBB">
      <w:pPr>
        <w:pBdr>
          <w:top w:val="single" w:sz="4" w:space="1" w:color="auto"/>
          <w:left w:val="single" w:sz="4" w:space="4" w:color="auto"/>
          <w:bottom w:val="single" w:sz="4" w:space="1" w:color="auto"/>
          <w:right w:val="single" w:sz="4" w:space="4" w:color="auto"/>
        </w:pBdr>
        <w:rPr>
          <w:rFonts w:cs="Arial"/>
          <w:szCs w:val="16"/>
        </w:rPr>
      </w:pPr>
      <w:r w:rsidRPr="00A10143">
        <w:rPr>
          <w:rFonts w:cs="Arial"/>
          <w:szCs w:val="16"/>
        </w:rPr>
        <w:t xml:space="preserve">Le candidat doit restituer ce document avant de </w:t>
      </w:r>
      <w:r w:rsidR="000C2C10" w:rsidRPr="00A10143">
        <w:rPr>
          <w:rFonts w:cs="Arial"/>
          <w:szCs w:val="16"/>
        </w:rPr>
        <w:t xml:space="preserve">quitter </w:t>
      </w:r>
      <w:r w:rsidRPr="00A10143">
        <w:rPr>
          <w:rFonts w:cs="Arial"/>
          <w:szCs w:val="16"/>
        </w:rPr>
        <w:t>la salle d’examen.</w:t>
      </w:r>
    </w:p>
    <w:p w:rsidR="000D0DFE" w:rsidRPr="00A10143" w:rsidRDefault="000D0DFE" w:rsidP="005C4CF4">
      <w:pPr>
        <w:spacing w:after="0"/>
        <w:rPr>
          <w:rFonts w:cs="Arial"/>
          <w:szCs w:val="20"/>
        </w:rPr>
      </w:pPr>
    </w:p>
    <w:p w:rsidR="00C47225" w:rsidRPr="00A10143" w:rsidRDefault="00050459" w:rsidP="005C4CF4">
      <w:pPr>
        <w:pStyle w:val="Sansinterligne"/>
      </w:pPr>
      <w:r w:rsidRPr="00A10143">
        <w:t>Exercice n°</w:t>
      </w:r>
      <w:r w:rsidR="00D74185" w:rsidRPr="00A10143">
        <w:t>1</w:t>
      </w:r>
    </w:p>
    <w:p w:rsidR="00994366" w:rsidRPr="00A10143" w:rsidRDefault="00994366" w:rsidP="00994366">
      <w:pPr>
        <w:pStyle w:val="Titresoulign"/>
      </w:pPr>
      <w:r w:rsidRPr="00A10143">
        <w:t>Contexte du sujet</w:t>
      </w:r>
    </w:p>
    <w:p w:rsidR="00994366" w:rsidRPr="00A10143" w:rsidRDefault="00994366" w:rsidP="00994366">
      <w:r w:rsidRPr="00A10143">
        <w:t xml:space="preserve">La plupart des eaux minérales contiennent des ions </w:t>
      </w:r>
      <w:proofErr w:type="gramStart"/>
      <w:r w:rsidRPr="00A10143">
        <w:t>hydrogénocarbonate</w:t>
      </w:r>
      <w:r w:rsidR="006A4719" w:rsidRPr="00A10143">
        <w:t xml:space="preserve"> </w:t>
      </w:r>
      <w:proofErr w:type="gramEnd"/>
      <w:r w:rsidR="006A4719" w:rsidRPr="00A10143">
        <w:rPr>
          <w:position w:val="-10"/>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4.95pt" o:ole="">
            <v:imagedata r:id="rId9" o:title=""/>
          </v:shape>
          <o:OLEObject Type="Embed" ProgID="Equation.DSMT4" ShapeID="_x0000_i1025" DrawAspect="Content" ObjectID="_1520149272" r:id="rId10"/>
        </w:object>
      </w:r>
      <w:r w:rsidRPr="00A10143">
        <w:t xml:space="preserve">. </w:t>
      </w:r>
      <w:r w:rsidR="00CE68E3">
        <w:t xml:space="preserve">L’ion </w:t>
      </w:r>
      <w:r w:rsidR="00CE68E3" w:rsidRPr="00A10143">
        <w:rPr>
          <w:position w:val="-10"/>
        </w:rPr>
        <w:object w:dxaOrig="580" w:dyaOrig="320">
          <v:shape id="_x0000_i1026" type="#_x0000_t75" style="width:29.2pt;height:14.95pt" o:ole="">
            <v:imagedata r:id="rId9" o:title=""/>
          </v:shape>
          <o:OLEObject Type="Embed" ProgID="Equation.DSMT4" ShapeID="_x0000_i1026" DrawAspect="Content" ObjectID="_1520149273" r:id="rId11"/>
        </w:object>
      </w:r>
      <w:r w:rsidR="00C57A5E" w:rsidRPr="00A10143">
        <w:t xml:space="preserve"> fait partie de </w:t>
      </w:r>
      <w:r w:rsidR="00A44A8F" w:rsidRPr="00A10143">
        <w:t xml:space="preserve">deux </w:t>
      </w:r>
      <w:r w:rsidRPr="00A10143">
        <w:t>couples acido-basiques et</w:t>
      </w:r>
      <w:r w:rsidR="00C57A5E" w:rsidRPr="00A10143">
        <w:t xml:space="preserve"> peut être dosé</w:t>
      </w:r>
      <w:r w:rsidRPr="00A10143">
        <w:t xml:space="preserve"> par de l’acide chlorhydrique (H</w:t>
      </w:r>
      <w:r w:rsidRPr="00A10143">
        <w:rPr>
          <w:vertAlign w:val="subscript"/>
        </w:rPr>
        <w:t>3</w:t>
      </w:r>
      <w:r w:rsidRPr="00A10143">
        <w:t>O</w:t>
      </w:r>
      <w:proofErr w:type="gramStart"/>
      <w:r w:rsidRPr="00A10143">
        <w:rPr>
          <w:vertAlign w:val="superscript"/>
        </w:rPr>
        <w:t>+</w:t>
      </w:r>
      <w:r w:rsidR="00A44A8F" w:rsidRPr="00A10143">
        <w:rPr>
          <w:vertAlign w:val="subscript"/>
        </w:rPr>
        <w:t>(</w:t>
      </w:r>
      <w:proofErr w:type="spellStart"/>
      <w:proofErr w:type="gramEnd"/>
      <w:r w:rsidRPr="00A10143">
        <w:rPr>
          <w:vertAlign w:val="subscript"/>
        </w:rPr>
        <w:t>aq</w:t>
      </w:r>
      <w:proofErr w:type="spellEnd"/>
      <w:r w:rsidR="00A44A8F" w:rsidRPr="00A10143">
        <w:rPr>
          <w:vertAlign w:val="subscript"/>
        </w:rPr>
        <w:t>)</w:t>
      </w:r>
      <w:r w:rsidRPr="00A10143">
        <w:t>, Cl</w:t>
      </w:r>
      <w:r w:rsidRPr="00A10143">
        <w:rPr>
          <w:vertAlign w:val="superscript"/>
        </w:rPr>
        <w:t>-</w:t>
      </w:r>
      <w:r w:rsidR="00A44A8F" w:rsidRPr="00A10143">
        <w:rPr>
          <w:vertAlign w:val="subscript"/>
        </w:rPr>
        <w:t>(</w:t>
      </w:r>
      <w:proofErr w:type="spellStart"/>
      <w:r w:rsidR="00A44A8F" w:rsidRPr="00A10143">
        <w:rPr>
          <w:vertAlign w:val="subscript"/>
        </w:rPr>
        <w:t>aq</w:t>
      </w:r>
      <w:proofErr w:type="spellEnd"/>
      <w:r w:rsidR="00A44A8F" w:rsidRPr="00A10143">
        <w:rPr>
          <w:vertAlign w:val="subscript"/>
        </w:rPr>
        <w:t>)</w:t>
      </w:r>
      <w:r w:rsidRPr="00A10143">
        <w:t>).</w:t>
      </w:r>
    </w:p>
    <w:p w:rsidR="00994366" w:rsidRPr="00A10143" w:rsidRDefault="00994366" w:rsidP="00994366">
      <w:pPr>
        <w:pStyle w:val="Titresoulign"/>
        <w:rPr>
          <w:b w:val="0"/>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155"/>
        <w:gridCol w:w="1559"/>
      </w:tblGrid>
      <w:tr w:rsidR="00C57A5E" w:rsidRPr="00A10143" w:rsidTr="00BC2307">
        <w:trPr>
          <w:jc w:val="center"/>
        </w:trPr>
        <w:tc>
          <w:tcPr>
            <w:tcW w:w="7508" w:type="dxa"/>
            <w:gridSpan w:val="2"/>
            <w:shd w:val="pct20" w:color="auto" w:fill="auto"/>
            <w:vAlign w:val="center"/>
          </w:tcPr>
          <w:p w:rsidR="00C57A5E" w:rsidRPr="00A10143" w:rsidRDefault="00C57A5E" w:rsidP="00BC2307">
            <w:pPr>
              <w:spacing w:before="40" w:after="40"/>
              <w:jc w:val="left"/>
            </w:pPr>
            <w:r w:rsidRPr="00A10143">
              <w:t>Couple</w:t>
            </w:r>
          </w:p>
        </w:tc>
        <w:tc>
          <w:tcPr>
            <w:tcW w:w="1559" w:type="dxa"/>
            <w:shd w:val="pct20" w:color="auto" w:fill="auto"/>
            <w:vAlign w:val="center"/>
          </w:tcPr>
          <w:p w:rsidR="00C57A5E" w:rsidRPr="00A10143" w:rsidRDefault="00C57A5E" w:rsidP="00BC2307">
            <w:pPr>
              <w:spacing w:before="40" w:after="40"/>
              <w:jc w:val="left"/>
            </w:pPr>
            <w:r w:rsidRPr="00A10143">
              <w:rPr>
                <w:i/>
              </w:rPr>
              <w:t>pK</w:t>
            </w:r>
            <w:r w:rsidR="00A10143" w:rsidRPr="00A10143">
              <w:rPr>
                <w:i/>
              </w:rPr>
              <w:t>a</w:t>
            </w:r>
            <w:r w:rsidRPr="00A10143">
              <w:t xml:space="preserve"> à 298K</w:t>
            </w:r>
          </w:p>
        </w:tc>
      </w:tr>
      <w:tr w:rsidR="00C57A5E" w:rsidRPr="00A10143" w:rsidTr="00BC2307">
        <w:trPr>
          <w:jc w:val="center"/>
        </w:trPr>
        <w:tc>
          <w:tcPr>
            <w:tcW w:w="5353" w:type="dxa"/>
            <w:vAlign w:val="center"/>
          </w:tcPr>
          <w:p w:rsidR="00C57A5E" w:rsidRPr="00A10143" w:rsidRDefault="00C57A5E" w:rsidP="00BC2307">
            <w:pPr>
              <w:spacing w:before="40" w:after="40"/>
              <w:jc w:val="left"/>
            </w:pPr>
            <w:r w:rsidRPr="00A10143">
              <w:t>Dioxyde de carbone dissous / ion hydrogénocarbonate</w:t>
            </w:r>
          </w:p>
        </w:tc>
        <w:tc>
          <w:tcPr>
            <w:tcW w:w="2155" w:type="dxa"/>
            <w:vAlign w:val="center"/>
          </w:tcPr>
          <w:p w:rsidR="00C57A5E" w:rsidRPr="00A10143" w:rsidRDefault="00C57A5E" w:rsidP="00BC2307">
            <w:pPr>
              <w:spacing w:before="40" w:after="40"/>
              <w:jc w:val="left"/>
            </w:pPr>
            <w:r w:rsidRPr="00A10143">
              <w:t>(CO</w:t>
            </w:r>
            <w:r w:rsidRPr="00A10143">
              <w:rPr>
                <w:vertAlign w:val="subscript"/>
              </w:rPr>
              <w:t>2</w:t>
            </w:r>
            <w:proofErr w:type="gramStart"/>
            <w:r w:rsidRPr="00A10143">
              <w:t>,H</w:t>
            </w:r>
            <w:r w:rsidRPr="00A10143">
              <w:rPr>
                <w:vertAlign w:val="subscript"/>
              </w:rPr>
              <w:t>2</w:t>
            </w:r>
            <w:r w:rsidRPr="00A10143">
              <w:t>O</w:t>
            </w:r>
            <w:proofErr w:type="gramEnd"/>
            <w:r w:rsidRPr="00A10143">
              <w:t xml:space="preserve">) / </w:t>
            </w:r>
            <w:r w:rsidRPr="00A10143">
              <w:rPr>
                <w:position w:val="-16"/>
              </w:rPr>
              <w:object w:dxaOrig="800" w:dyaOrig="380">
                <v:shape id="_x0000_i1027" type="#_x0000_t75" style="width:40.1pt;height:19pt" o:ole="">
                  <v:imagedata r:id="rId12" o:title=""/>
                </v:shape>
                <o:OLEObject Type="Embed" ProgID="Equation.DSMT4" ShapeID="_x0000_i1027" DrawAspect="Content" ObjectID="_1520149274" r:id="rId13"/>
              </w:object>
            </w:r>
          </w:p>
        </w:tc>
        <w:tc>
          <w:tcPr>
            <w:tcW w:w="1559" w:type="dxa"/>
            <w:vAlign w:val="center"/>
          </w:tcPr>
          <w:p w:rsidR="00C57A5E" w:rsidRPr="00A10143" w:rsidRDefault="00C57A5E" w:rsidP="00BC2307">
            <w:pPr>
              <w:spacing w:before="40" w:after="40"/>
              <w:jc w:val="left"/>
            </w:pPr>
            <w:r w:rsidRPr="00A10143">
              <w:rPr>
                <w:i/>
              </w:rPr>
              <w:t>pK</w:t>
            </w:r>
            <w:r w:rsidR="00A10143" w:rsidRPr="00A10143">
              <w:rPr>
                <w:i/>
              </w:rPr>
              <w:t>a</w:t>
            </w:r>
            <w:r w:rsidRPr="00A10143">
              <w:rPr>
                <w:i/>
                <w:vertAlign w:val="subscript"/>
              </w:rPr>
              <w:t>1</w:t>
            </w:r>
            <w:r w:rsidRPr="00A10143">
              <w:t xml:space="preserve"> = 6,4</w:t>
            </w:r>
          </w:p>
        </w:tc>
      </w:tr>
      <w:tr w:rsidR="00C57A5E" w:rsidRPr="00A10143" w:rsidTr="00BC2307">
        <w:trPr>
          <w:jc w:val="center"/>
        </w:trPr>
        <w:tc>
          <w:tcPr>
            <w:tcW w:w="5353" w:type="dxa"/>
            <w:tcBorders>
              <w:bottom w:val="single" w:sz="4" w:space="0" w:color="auto"/>
            </w:tcBorders>
            <w:vAlign w:val="center"/>
          </w:tcPr>
          <w:p w:rsidR="00C57A5E" w:rsidRPr="00A10143" w:rsidRDefault="00C57A5E" w:rsidP="00BC2307">
            <w:pPr>
              <w:spacing w:before="40" w:after="40"/>
              <w:jc w:val="left"/>
            </w:pPr>
            <w:r w:rsidRPr="00A10143">
              <w:t>Ion hydrogénocarbonate / ion carbonate</w:t>
            </w:r>
          </w:p>
        </w:tc>
        <w:tc>
          <w:tcPr>
            <w:tcW w:w="2155" w:type="dxa"/>
            <w:tcBorders>
              <w:bottom w:val="single" w:sz="4" w:space="0" w:color="auto"/>
            </w:tcBorders>
            <w:vAlign w:val="center"/>
          </w:tcPr>
          <w:p w:rsidR="00C57A5E" w:rsidRPr="00A10143" w:rsidRDefault="00C57A5E" w:rsidP="00BC2307">
            <w:pPr>
              <w:spacing w:before="40" w:after="40"/>
              <w:jc w:val="left"/>
            </w:pPr>
            <w:r w:rsidRPr="00A10143">
              <w:rPr>
                <w:position w:val="-16"/>
              </w:rPr>
              <w:object w:dxaOrig="800" w:dyaOrig="380">
                <v:shape id="_x0000_i1028" type="#_x0000_t75" style="width:40.1pt;height:19pt" o:ole="">
                  <v:imagedata r:id="rId12" o:title=""/>
                </v:shape>
                <o:OLEObject Type="Embed" ProgID="Equation.DSMT4" ShapeID="_x0000_i1028" DrawAspect="Content" ObjectID="_1520149275" r:id="rId14"/>
              </w:object>
            </w:r>
            <w:r w:rsidRPr="00A10143">
              <w:t> / CO</w:t>
            </w:r>
            <w:r w:rsidRPr="00A10143">
              <w:rPr>
                <w:vertAlign w:val="subscript"/>
              </w:rPr>
              <w:t>3</w:t>
            </w:r>
            <w:r w:rsidRPr="00A10143">
              <w:rPr>
                <w:vertAlign w:val="superscript"/>
              </w:rPr>
              <w:t>2-</w:t>
            </w:r>
            <w:r w:rsidRPr="00A10143">
              <w:rPr>
                <w:vertAlign w:val="subscript"/>
              </w:rPr>
              <w:t xml:space="preserve"> (</w:t>
            </w:r>
            <w:proofErr w:type="spellStart"/>
            <w:r w:rsidRPr="00A10143">
              <w:rPr>
                <w:vertAlign w:val="subscript"/>
              </w:rPr>
              <w:t>aq</w:t>
            </w:r>
            <w:proofErr w:type="spellEnd"/>
            <w:r w:rsidRPr="00A10143">
              <w:rPr>
                <w:vertAlign w:val="subscript"/>
              </w:rPr>
              <w:t>)</w:t>
            </w:r>
            <w:r w:rsidRPr="00A10143">
              <w:t xml:space="preserve">   </w:t>
            </w:r>
          </w:p>
        </w:tc>
        <w:tc>
          <w:tcPr>
            <w:tcW w:w="1559" w:type="dxa"/>
            <w:tcBorders>
              <w:bottom w:val="single" w:sz="4" w:space="0" w:color="auto"/>
            </w:tcBorders>
            <w:vAlign w:val="center"/>
          </w:tcPr>
          <w:p w:rsidR="00C57A5E" w:rsidRPr="00A10143" w:rsidRDefault="00C57A5E" w:rsidP="00BC2307">
            <w:pPr>
              <w:spacing w:before="40" w:after="40"/>
              <w:jc w:val="left"/>
            </w:pPr>
            <w:r w:rsidRPr="00A10143">
              <w:rPr>
                <w:i/>
              </w:rPr>
              <w:t>pK</w:t>
            </w:r>
            <w:r w:rsidR="00A10143" w:rsidRPr="00A10143">
              <w:rPr>
                <w:i/>
              </w:rPr>
              <w:t>a</w:t>
            </w:r>
            <w:r w:rsidRPr="00A10143">
              <w:rPr>
                <w:i/>
                <w:vertAlign w:val="subscript"/>
              </w:rPr>
              <w:t>2</w:t>
            </w:r>
            <w:r w:rsidRPr="00A10143">
              <w:t xml:space="preserve"> = 10,3</w:t>
            </w:r>
          </w:p>
        </w:tc>
      </w:tr>
    </w:tbl>
    <w:p w:rsidR="00994366" w:rsidRPr="00A10143" w:rsidRDefault="00994366" w:rsidP="00994366"/>
    <w:p w:rsidR="00C57A5E" w:rsidRPr="00A10143" w:rsidRDefault="00C57A5E" w:rsidP="00A10143">
      <w:pPr>
        <w:pStyle w:val="Titresoulign"/>
        <w:spacing w:before="0" w:after="240"/>
      </w:pPr>
      <w:r w:rsidRPr="00A10143">
        <w:t>Quelques indicateurs colorés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tblGrid>
      <w:tr w:rsidR="00C57A5E" w:rsidRPr="00A10143" w:rsidTr="00C57A5E">
        <w:trPr>
          <w:jc w:val="center"/>
        </w:trPr>
        <w:tc>
          <w:tcPr>
            <w:tcW w:w="4361" w:type="dxa"/>
            <w:shd w:val="pct20" w:color="auto" w:fill="auto"/>
          </w:tcPr>
          <w:p w:rsidR="00C57A5E" w:rsidRPr="00A10143" w:rsidRDefault="00C57A5E" w:rsidP="00C57A5E">
            <w:pPr>
              <w:jc w:val="center"/>
            </w:pPr>
            <w:r w:rsidRPr="00A10143">
              <w:t>Indicateur coloré</w:t>
            </w:r>
          </w:p>
        </w:tc>
        <w:tc>
          <w:tcPr>
            <w:tcW w:w="4394" w:type="dxa"/>
            <w:shd w:val="pct20" w:color="auto" w:fill="auto"/>
          </w:tcPr>
          <w:p w:rsidR="00C57A5E" w:rsidRPr="00A10143" w:rsidRDefault="00C57A5E" w:rsidP="00C57A5E">
            <w:pPr>
              <w:jc w:val="center"/>
            </w:pPr>
            <w:r w:rsidRPr="00A10143">
              <w:t>Zone de virage</w:t>
            </w:r>
          </w:p>
        </w:tc>
      </w:tr>
      <w:tr w:rsidR="00C57A5E" w:rsidRPr="00A10143" w:rsidTr="00C57A5E">
        <w:trPr>
          <w:jc w:val="center"/>
        </w:trPr>
        <w:tc>
          <w:tcPr>
            <w:tcW w:w="4361" w:type="dxa"/>
          </w:tcPr>
          <w:p w:rsidR="00C57A5E" w:rsidRPr="00A10143" w:rsidRDefault="00A10143" w:rsidP="00A10143">
            <w:pPr>
              <w:jc w:val="center"/>
            </w:pPr>
            <w:r>
              <w:t>v</w:t>
            </w:r>
            <w:r w:rsidR="00C57A5E" w:rsidRPr="00A10143">
              <w:t>ert de bromocrésol</w:t>
            </w:r>
          </w:p>
        </w:tc>
        <w:tc>
          <w:tcPr>
            <w:tcW w:w="4394" w:type="dxa"/>
          </w:tcPr>
          <w:p w:rsidR="00C57A5E" w:rsidRPr="00A10143" w:rsidRDefault="00C57A5E" w:rsidP="00C57A5E">
            <w:pPr>
              <w:jc w:val="center"/>
            </w:pPr>
            <w:r w:rsidRPr="00A10143">
              <w:t xml:space="preserve">jaune  3,8 &lt; </w:t>
            </w:r>
            <w:r w:rsidRPr="00A10143">
              <w:rPr>
                <w:i/>
              </w:rPr>
              <w:t>pH</w:t>
            </w:r>
            <w:r w:rsidRPr="00A10143">
              <w:t xml:space="preserve"> &lt; 5,4 bleu</w:t>
            </w:r>
          </w:p>
        </w:tc>
      </w:tr>
      <w:tr w:rsidR="00C57A5E" w:rsidRPr="00A10143" w:rsidTr="00C57A5E">
        <w:trPr>
          <w:jc w:val="center"/>
        </w:trPr>
        <w:tc>
          <w:tcPr>
            <w:tcW w:w="4361" w:type="dxa"/>
          </w:tcPr>
          <w:p w:rsidR="00C57A5E" w:rsidRPr="00A10143" w:rsidRDefault="00A10143" w:rsidP="00A10143">
            <w:pPr>
              <w:jc w:val="center"/>
            </w:pPr>
            <w:r>
              <w:t>v</w:t>
            </w:r>
            <w:r w:rsidR="00C57A5E" w:rsidRPr="00A10143">
              <w:t>iolet de bromocrésol</w:t>
            </w:r>
          </w:p>
        </w:tc>
        <w:tc>
          <w:tcPr>
            <w:tcW w:w="4394" w:type="dxa"/>
          </w:tcPr>
          <w:p w:rsidR="00C57A5E" w:rsidRPr="00A10143" w:rsidRDefault="00C57A5E" w:rsidP="00C57A5E">
            <w:pPr>
              <w:jc w:val="center"/>
            </w:pPr>
            <w:r w:rsidRPr="00A10143">
              <w:t xml:space="preserve">jaune 5,2 &lt; </w:t>
            </w:r>
            <w:r w:rsidRPr="00A10143">
              <w:rPr>
                <w:i/>
              </w:rPr>
              <w:t>pH</w:t>
            </w:r>
            <w:r w:rsidRPr="00A10143">
              <w:t xml:space="preserve"> &lt; 6,8 violet</w:t>
            </w:r>
          </w:p>
        </w:tc>
      </w:tr>
      <w:tr w:rsidR="00C57A5E" w:rsidRPr="00A10143" w:rsidTr="00C57A5E">
        <w:trPr>
          <w:jc w:val="center"/>
        </w:trPr>
        <w:tc>
          <w:tcPr>
            <w:tcW w:w="4361" w:type="dxa"/>
          </w:tcPr>
          <w:p w:rsidR="00C57A5E" w:rsidRPr="00A10143" w:rsidRDefault="00A10143" w:rsidP="00A10143">
            <w:pPr>
              <w:jc w:val="center"/>
            </w:pPr>
            <w:r>
              <w:t>b</w:t>
            </w:r>
            <w:r w:rsidR="00C57A5E" w:rsidRPr="00A10143">
              <w:t>leu de bromothymol</w:t>
            </w:r>
          </w:p>
        </w:tc>
        <w:tc>
          <w:tcPr>
            <w:tcW w:w="4394" w:type="dxa"/>
          </w:tcPr>
          <w:p w:rsidR="00C57A5E" w:rsidRPr="00A10143" w:rsidRDefault="00C57A5E" w:rsidP="00C57A5E">
            <w:pPr>
              <w:jc w:val="center"/>
            </w:pPr>
            <w:r w:rsidRPr="00A10143">
              <w:t xml:space="preserve">jaune 6,0 &lt; </w:t>
            </w:r>
            <w:r w:rsidRPr="00A10143">
              <w:rPr>
                <w:i/>
              </w:rPr>
              <w:t>pH</w:t>
            </w:r>
            <w:r w:rsidRPr="00A10143">
              <w:t xml:space="preserve"> &lt; 7,6 bleu</w:t>
            </w:r>
          </w:p>
        </w:tc>
      </w:tr>
    </w:tbl>
    <w:p w:rsidR="00C57A5E" w:rsidRPr="00A10143" w:rsidRDefault="00C57A5E" w:rsidP="00994366"/>
    <w:p w:rsidR="003C06C2" w:rsidRPr="00A10143" w:rsidRDefault="003C06C2" w:rsidP="003C06C2">
      <w:pPr>
        <w:pStyle w:val="Titresoulign"/>
      </w:pPr>
      <w:r w:rsidRPr="00A10143">
        <w:t>Question</w:t>
      </w:r>
      <w:r w:rsidR="00994366" w:rsidRPr="00A10143">
        <w:t>s</w:t>
      </w:r>
    </w:p>
    <w:p w:rsidR="00994366" w:rsidRPr="00A10143" w:rsidRDefault="00994366" w:rsidP="00994366">
      <w:pPr>
        <w:rPr>
          <w:b/>
          <w:u w:val="single"/>
        </w:rPr>
      </w:pPr>
    </w:p>
    <w:p w:rsidR="00994366" w:rsidRPr="00A10143" w:rsidRDefault="00A44A8F" w:rsidP="00994366">
      <w:pPr>
        <w:pStyle w:val="Paragraphedeliste"/>
        <w:numPr>
          <w:ilvl w:val="0"/>
          <w:numId w:val="17"/>
        </w:numPr>
        <w:rPr>
          <w:rFonts w:cs="Arial"/>
        </w:rPr>
      </w:pPr>
      <w:r w:rsidRPr="00A10143">
        <w:rPr>
          <w:rFonts w:cs="Arial"/>
        </w:rPr>
        <w:t xml:space="preserve">Rappeler </w:t>
      </w:r>
      <w:r w:rsidR="00994366" w:rsidRPr="00A10143">
        <w:rPr>
          <w:rFonts w:cs="Arial"/>
        </w:rPr>
        <w:t xml:space="preserve">la définition d’un acide </w:t>
      </w:r>
      <w:r w:rsidR="00E1583E">
        <w:rPr>
          <w:rFonts w:cs="Arial"/>
        </w:rPr>
        <w:t xml:space="preserve">d’après </w:t>
      </w:r>
      <w:r w:rsidR="00994366" w:rsidRPr="00A10143">
        <w:rPr>
          <w:rFonts w:cs="Arial"/>
        </w:rPr>
        <w:t xml:space="preserve">la théorie de </w:t>
      </w:r>
      <w:r w:rsidR="008B5F70" w:rsidRPr="00A10143">
        <w:rPr>
          <w:rFonts w:cs="Arial"/>
        </w:rPr>
        <w:t>Brö</w:t>
      </w:r>
      <w:r w:rsidR="00994366" w:rsidRPr="00A10143">
        <w:rPr>
          <w:rFonts w:cs="Arial"/>
        </w:rPr>
        <w:t>nsted.</w:t>
      </w:r>
      <w:r w:rsidR="00150C95">
        <w:rPr>
          <w:rFonts w:cs="Arial"/>
        </w:rPr>
        <w:t xml:space="preserve"> </w:t>
      </w:r>
    </w:p>
    <w:p w:rsidR="00A44A8F" w:rsidRPr="00A10143" w:rsidRDefault="00994366" w:rsidP="00994366">
      <w:pPr>
        <w:pStyle w:val="Paragraphedeliste"/>
        <w:numPr>
          <w:ilvl w:val="0"/>
          <w:numId w:val="17"/>
        </w:numPr>
        <w:rPr>
          <w:rFonts w:cs="Arial"/>
        </w:rPr>
      </w:pPr>
      <w:r w:rsidRPr="00A10143">
        <w:rPr>
          <w:rFonts w:cs="Arial"/>
        </w:rPr>
        <w:t xml:space="preserve">Placer les espèces prédominantes des deux couples de l’ion hydrogénocarbonate sur l’axe de </w:t>
      </w:r>
      <w:r w:rsidRPr="00A10143">
        <w:rPr>
          <w:rFonts w:cs="Arial"/>
          <w:i/>
        </w:rPr>
        <w:t>pH</w:t>
      </w:r>
      <w:r w:rsidRPr="00A10143">
        <w:rPr>
          <w:rFonts w:cs="Arial"/>
        </w:rPr>
        <w:t xml:space="preserve"> </w:t>
      </w:r>
      <w:r w:rsidR="00A44A8F" w:rsidRPr="00A10143">
        <w:rPr>
          <w:rFonts w:cs="Arial"/>
        </w:rPr>
        <w:t>ci-dessous :</w:t>
      </w:r>
    </w:p>
    <w:p w:rsidR="00A10143" w:rsidRPr="00A10143" w:rsidRDefault="00A10143" w:rsidP="00A10143">
      <w:pPr>
        <w:jc w:val="center"/>
        <w:rPr>
          <w:rFonts w:cs="Arial"/>
        </w:rPr>
      </w:pPr>
      <w:r w:rsidRPr="00A10143">
        <w:rPr>
          <w:noProof/>
        </w:rPr>
        <mc:AlternateContent>
          <mc:Choice Requires="wpg">
            <w:drawing>
              <wp:inline distT="0" distB="0" distL="0" distR="0" wp14:anchorId="7E97C7C6" wp14:editId="1FD7E873">
                <wp:extent cx="5421155" cy="594732"/>
                <wp:effectExtent l="0" t="0" r="0" b="0"/>
                <wp:docPr id="3" name="Groupe 3"/>
                <wp:cNvGraphicFramePr/>
                <a:graphic xmlns:a="http://schemas.openxmlformats.org/drawingml/2006/main">
                  <a:graphicData uri="http://schemas.microsoft.com/office/word/2010/wordprocessingGroup">
                    <wpg:wgp>
                      <wpg:cNvGrpSpPr/>
                      <wpg:grpSpPr>
                        <a:xfrm>
                          <a:off x="0" y="0"/>
                          <a:ext cx="5421155" cy="594732"/>
                          <a:chOff x="0" y="0"/>
                          <a:chExt cx="4769718" cy="523724"/>
                        </a:xfrm>
                      </wpg:grpSpPr>
                      <wpg:grpSp>
                        <wpg:cNvPr id="4" name="Groupe 4"/>
                        <wpg:cNvGrpSpPr/>
                        <wpg:grpSpPr>
                          <a:xfrm>
                            <a:off x="176543" y="81481"/>
                            <a:ext cx="4282289" cy="96187"/>
                            <a:chOff x="0" y="0"/>
                            <a:chExt cx="4282289" cy="96187"/>
                          </a:xfrm>
                        </wpg:grpSpPr>
                        <wps:wsp>
                          <wps:cNvPr id="5" name="Connecteur droit avec flèche 5"/>
                          <wps:cNvCnPr/>
                          <wps:spPr>
                            <a:xfrm>
                              <a:off x="4527" y="45268"/>
                              <a:ext cx="4277762"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Connecteur droit 6"/>
                          <wps:cNvCnPr/>
                          <wps:spPr>
                            <a:xfrm>
                              <a:off x="0" y="0"/>
                              <a:ext cx="0" cy="96187"/>
                            </a:xfrm>
                            <a:prstGeom prst="line">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8" name="Connecteur droit 8"/>
                          <wps:cNvCnPr/>
                          <wps:spPr>
                            <a:xfrm>
                              <a:off x="1833327" y="0"/>
                              <a:ext cx="0" cy="96187"/>
                            </a:xfrm>
                            <a:prstGeom prst="line">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9" name="Connecteur droit 9"/>
                          <wps:cNvCnPr/>
                          <wps:spPr>
                            <a:xfrm>
                              <a:off x="2820155" y="0"/>
                              <a:ext cx="0" cy="96187"/>
                            </a:xfrm>
                            <a:prstGeom prst="line">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a:off x="3947311" y="0"/>
                              <a:ext cx="0" cy="96187"/>
                            </a:xfrm>
                            <a:prstGeom prst="line">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g:grpSp>
                        <wpg:cNvPr id="11" name="Groupe 11"/>
                        <wpg:cNvGrpSpPr/>
                        <wpg:grpSpPr>
                          <a:xfrm>
                            <a:off x="0" y="0"/>
                            <a:ext cx="4769718" cy="523724"/>
                            <a:chOff x="0" y="0"/>
                            <a:chExt cx="4769718" cy="523724"/>
                          </a:xfrm>
                        </wpg:grpSpPr>
                        <wps:wsp>
                          <wps:cNvPr id="13" name="Zone de texte 13"/>
                          <wps:cNvSpPr txBox="1"/>
                          <wps:spPr>
                            <a:xfrm>
                              <a:off x="0" y="167489"/>
                              <a:ext cx="36068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43" w:rsidRDefault="00A10143" w:rsidP="00A10143">
                                <w:pPr>
                                  <w:jc w:val="center"/>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Zone de texte 14"/>
                          <wps:cNvSpPr txBox="1"/>
                          <wps:spPr>
                            <a:xfrm>
                              <a:off x="1484769" y="167489"/>
                              <a:ext cx="108394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43" w:rsidRDefault="00A10143" w:rsidP="00A10143">
                                <w:pPr>
                                  <w:jc w:val="center"/>
                                </w:pPr>
                                <w:r w:rsidRPr="003D2119">
                                  <w:rPr>
                                    <w:i/>
                                  </w:rPr>
                                  <w:t>pKa</w:t>
                                </w:r>
                                <w:r w:rsidRPr="003D2119">
                                  <w:rPr>
                                    <w:i/>
                                    <w:vertAlign w:val="subscript"/>
                                  </w:rPr>
                                  <w:t>1</w:t>
                                </w:r>
                                <w:r>
                                  <w:t xml:space="preserve"> = 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a:off x="2485177" y="162962"/>
                              <a:ext cx="108394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43" w:rsidRDefault="00A10143" w:rsidP="00A10143">
                                <w:pPr>
                                  <w:jc w:val="center"/>
                                </w:pPr>
                                <w:r w:rsidRPr="003D2119">
                                  <w:rPr>
                                    <w:i/>
                                  </w:rPr>
                                  <w:t>pKa</w:t>
                                </w:r>
                                <w:r>
                                  <w:rPr>
                                    <w:i/>
                                    <w:vertAlign w:val="subscript"/>
                                  </w:rPr>
                                  <w:t>2</w:t>
                                </w:r>
                                <w:r>
                                  <w:t xml:space="preserve"> = 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Zone de texte 16"/>
                          <wps:cNvSpPr txBox="1"/>
                          <wps:spPr>
                            <a:xfrm>
                              <a:off x="3965418" y="158436"/>
                              <a:ext cx="36068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43" w:rsidRDefault="00A10143" w:rsidP="00A10143">
                                <w:pPr>
                                  <w:jc w:val="center"/>
                                </w:pP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Zone de texte 17"/>
                          <wps:cNvSpPr txBox="1"/>
                          <wps:spPr>
                            <a:xfrm>
                              <a:off x="4409038" y="0"/>
                              <a:ext cx="36068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143" w:rsidRPr="003D2119" w:rsidRDefault="00A10143" w:rsidP="00A10143">
                                <w:pPr>
                                  <w:jc w:val="center"/>
                                  <w:rPr>
                                    <w:i/>
                                  </w:rPr>
                                </w:pPr>
                                <w:r w:rsidRPr="003D2119">
                                  <w:rPr>
                                    <w:i/>
                                  </w:rPr>
                                  <w:t>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id="Groupe 3" o:spid="_x0000_s1026" style="width:426.85pt;height:46.85pt;mso-position-horizontal-relative:char;mso-position-vertical-relative:line" coordsize="47697,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">
                <v:group id="Groupe 4" o:spid="_x0000_s1027" style="position:absolute;left:1765;top:814;width:42823;height:962" coordsize="42822,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Connecteur droit avec flèche 5" o:spid="_x0000_s1028" type="#_x0000_t32" style="position:absolute;left:45;top:452;width:427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ND8MAAADaAAAADwAAAGRycy9kb3ducmV2LnhtbESP0WoCMRRE3wv9h3AF32pWoa3dGqXY&#10;Cn0oFFc/4LK5JqvJzbJJ3fXvTUHwcZiZM8xiNXgnztTFJrCC6aQAQVwH3bBRsN9tnuYgYkLW6AKT&#10;ggtFWC0fHxZY6tDzls5VMiJDOJaowKbUllLG2pLHOAktcfYOofOYsuyM1B32Ge6dnBXFi/TYcF6w&#10;2NLaUn2q/ryC4+/r2/70aaYH81O4beX6nf3qlRqPho93EImGdA/f2t9awTP8X8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vzQ/DAAAA2gAAAA8AAAAAAAAAAAAA&#10;AAAAoQIAAGRycy9kb3ducmV2LnhtbFBLBQYAAAAABAAEAPkAAACRAwAAAAA=&#10;" strokecolor="black [3213]" strokeweight="1.5pt">
                    <v:stroke endarrow="open"/>
                  </v:shape>
                  <v:line id="Connecteur droit 6" o:spid="_x0000_s1029" style="position:absolute;visibility:visible;mso-wrap-style:square" from="0,0" to="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ZsEAAADaAAAADwAAAGRycy9kb3ducmV2LnhtbESPT4vCMBTE7wt+h/CEva2pHmSpRlHB&#10;P1frevD2aJ5NsXkpSWrrt98IC3scZuY3zHI92EY8yYfasYLpJANBXDpdc6Xg57L/+gYRIrLGxjEp&#10;eFGA9Wr0scRcu57P9CxiJRKEQ44KTIxtLmUoDVkME9cSJ+/uvMWYpK+k9tgnuG3kLMvm0mLNacFg&#10;SztD5aPorIJbt43+eJGbvhh2BzPbN2Xnrkp9jofNAkSkIf6H/9onrWAO7yvpBs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5c5mwQAAANoAAAAPAAAAAAAAAAAAAAAA&#10;AKECAABkcnMvZG93bnJldi54bWxQSwUGAAAAAAQABAD5AAAAjwMAAAAA&#10;" strokecolor="black [3213]" strokeweight="1.5pt"/>
                  <v:line id="Connecteur droit 8" o:spid="_x0000_s1030" style="position:absolute;visibility:visible;mso-wrap-style:square" from="18333,0" to="1833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j74AAADaAAAADwAAAGRycy9kb3ducmV2LnhtbERPu2rDMBTdC/kHcQPZGrkeQnEshzSQ&#10;pGudZsh2sW4tU+vKSPKjf18NhY6H8y4Pi+3FRD50jhW8bDMQxI3THbcKPm/n51cQISJr7B2Tgh8K&#10;cKhWTyUW2s38QVMdW5FCOBSowMQ4FFKGxpDFsHUDceK+nLcYE/St1B7nFG57mWfZTlrsODUYHOhk&#10;qPmuR6vgMb5Ff73J41wvp4vJz30zurtSm/Vy3IOItMR/8Z/7XStIW9OVdANk9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Nv+PvgAAANoAAAAPAAAAAAAAAAAAAAAAAKEC&#10;AABkcnMvZG93bnJldi54bWxQSwUGAAAAAAQABAD5AAAAjAMAAAAA&#10;" strokecolor="black [3213]" strokeweight="1.5pt"/>
                  <v:line id="Connecteur droit 9" o:spid="_x0000_s1031" style="position:absolute;visibility:visible;mso-wrap-style:square" from="28201,0" to="2820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aFMEAAADaAAAADwAAAGRycy9kb3ducmV2LnhtbESPQYvCMBSE7wv+h/AEb2uqh2W3GkUF&#10;Xa9b9eDt0TybYvNSktTWf28WFvY4zMw3zHI92EY8yIfasYLZNANBXDpdc6XgfNq/f4IIEVlj45gU&#10;PCnAejV6W2KuXc8/9ChiJRKEQ44KTIxtLmUoDVkMU9cSJ+/mvMWYpK+k9tgnuG3kPMs+pMWa04LB&#10;lnaGynvRWQXXbhv990lu+mLYHcx835Sduyg1GQ+bBYhIQ/wP/7WPWsEX/F5JN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loUwQAAANoAAAAPAAAAAAAAAAAAAAAA&#10;AKECAABkcnMvZG93bnJldi54bWxQSwUGAAAAAAQABAD5AAAAjwMAAAAA&#10;" strokecolor="black [3213]" strokeweight="1.5pt"/>
                  <v:line id="Connecteur droit 10" o:spid="_x0000_s1032" style="position:absolute;visibility:visible;mso-wrap-style:square" from="39473,0" to="3947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9fMIAAADbAAAADwAAAGRycy9kb3ducmV2LnhtbESPQW/CMAyF70j7D5En7QYpHCbUERAg&#10;se26AofdrMY0FY1TJSnt/v18mLSbrff83ufNbvKdelBMbWADy0UBirgOtuXGwOV8mq9BpYxssQtM&#10;Bn4owW77NNtgacPIX/SocqMkhFOJBlzOfal1qh15TIvQE4t2C9FjljU22kYcJdx3elUUr9pjy9Lg&#10;sKejo/peDd7A93DI8eOs92M1Hd/d6tTVQ7ga8/I87d9AZZryv/nv+tMKvtDLLzKA3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X9fMIAAADbAAAADwAAAAAAAAAAAAAA&#10;AAChAgAAZHJzL2Rvd25yZXYueG1sUEsFBgAAAAAEAAQA+QAAAJADAAAAAA==&#10;" strokecolor="black [3213]" strokeweight="1.5pt"/>
                </v:group>
                <v:group id="Groupe 11" o:spid="_x0000_s1033" style="position:absolute;width:47697;height:5237" coordsize="47697,5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Zone de texte 13" o:spid="_x0000_s1034" type="#_x0000_t202" style="position:absolute;top:1674;width:3606;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A10143" w:rsidRDefault="00A10143" w:rsidP="00A10143">
                          <w:pPr>
                            <w:jc w:val="center"/>
                          </w:pPr>
                          <w:r>
                            <w:t>0</w:t>
                          </w:r>
                        </w:p>
                      </w:txbxContent>
                    </v:textbox>
                  </v:shape>
                  <v:shape id="Zone de texte 14" o:spid="_x0000_s1035" type="#_x0000_t202" style="position:absolute;left:14847;top:1674;width:10840;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A10143" w:rsidRDefault="00A10143" w:rsidP="00A10143">
                          <w:pPr>
                            <w:jc w:val="center"/>
                          </w:pPr>
                          <w:r w:rsidRPr="003D2119">
                            <w:rPr>
                              <w:i/>
                            </w:rPr>
                            <w:t>pKa</w:t>
                          </w:r>
                          <w:r w:rsidRPr="003D2119">
                            <w:rPr>
                              <w:i/>
                              <w:vertAlign w:val="subscript"/>
                            </w:rPr>
                            <w:t>1</w:t>
                          </w:r>
                          <w:r>
                            <w:t xml:space="preserve"> = 6,4</w:t>
                          </w:r>
                        </w:p>
                      </w:txbxContent>
                    </v:textbox>
                  </v:shape>
                  <v:shape id="Zone de texte 15" o:spid="_x0000_s1036" type="#_x0000_t202" style="position:absolute;left:24851;top:1629;width:1084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A10143" w:rsidRDefault="00A10143" w:rsidP="00A10143">
                          <w:pPr>
                            <w:jc w:val="center"/>
                          </w:pPr>
                          <w:r w:rsidRPr="003D2119">
                            <w:rPr>
                              <w:i/>
                            </w:rPr>
                            <w:t>pKa</w:t>
                          </w:r>
                          <w:r>
                            <w:rPr>
                              <w:i/>
                              <w:vertAlign w:val="subscript"/>
                            </w:rPr>
                            <w:t>2</w:t>
                          </w:r>
                          <w:r>
                            <w:t xml:space="preserve"> = 10,3</w:t>
                          </w:r>
                        </w:p>
                      </w:txbxContent>
                    </v:textbox>
                  </v:shape>
                  <v:shape id="Zone de texte 16" o:spid="_x0000_s1037" type="#_x0000_t202" style="position:absolute;left:39654;top:1584;width:3606;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A10143" w:rsidRDefault="00A10143" w:rsidP="00A10143">
                          <w:pPr>
                            <w:jc w:val="center"/>
                          </w:pPr>
                          <w:r>
                            <w:t>14</w:t>
                          </w:r>
                        </w:p>
                      </w:txbxContent>
                    </v:textbox>
                  </v:shape>
                  <v:shape id="Zone de texte 17" o:spid="_x0000_s1038" type="#_x0000_t202" style="position:absolute;left:44090;width:3607;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A10143" w:rsidRPr="003D2119" w:rsidRDefault="00A10143" w:rsidP="00A10143">
                          <w:pPr>
                            <w:jc w:val="center"/>
                            <w:rPr>
                              <w:i/>
                            </w:rPr>
                          </w:pPr>
                          <w:r w:rsidRPr="003D2119">
                            <w:rPr>
                              <w:i/>
                            </w:rPr>
                            <w:t>pH</w:t>
                          </w:r>
                        </w:p>
                      </w:txbxContent>
                    </v:textbox>
                  </v:shape>
                </v:group>
                <w10:anchorlock/>
              </v:group>
            </w:pict>
          </mc:Fallback>
        </mc:AlternateContent>
      </w:r>
    </w:p>
    <w:p w:rsidR="00994366" w:rsidRPr="00A10143" w:rsidRDefault="00994366" w:rsidP="0058137C">
      <w:pPr>
        <w:pStyle w:val="Paragraphedeliste"/>
        <w:numPr>
          <w:ilvl w:val="0"/>
          <w:numId w:val="17"/>
        </w:numPr>
        <w:rPr>
          <w:rFonts w:cs="Arial"/>
        </w:rPr>
      </w:pPr>
      <w:r w:rsidRPr="00A10143">
        <w:rPr>
          <w:rFonts w:cs="Arial"/>
        </w:rPr>
        <w:t>Quelle est l’espèce prédominante</w:t>
      </w:r>
      <w:r w:rsidR="006A4719" w:rsidRPr="00A10143">
        <w:rPr>
          <w:rFonts w:cs="Arial"/>
        </w:rPr>
        <w:t xml:space="preserve">, dans </w:t>
      </w:r>
      <w:r w:rsidRPr="00A10143">
        <w:rPr>
          <w:rFonts w:cs="Arial"/>
        </w:rPr>
        <w:t xml:space="preserve">une eau minérale de </w:t>
      </w:r>
      <w:r w:rsidRPr="00A10143">
        <w:rPr>
          <w:rFonts w:cs="Arial"/>
          <w:i/>
        </w:rPr>
        <w:t>pH</w:t>
      </w:r>
      <w:r w:rsidR="00CE68E3">
        <w:rPr>
          <w:rFonts w:cs="Arial"/>
        </w:rPr>
        <w:t xml:space="preserve"> égal à </w:t>
      </w:r>
      <w:r w:rsidRPr="00A10143">
        <w:rPr>
          <w:rFonts w:cs="Arial"/>
        </w:rPr>
        <w:t xml:space="preserve">7,3 ? </w:t>
      </w:r>
    </w:p>
    <w:p w:rsidR="00994366" w:rsidRPr="00A10143" w:rsidRDefault="00994366" w:rsidP="0058137C">
      <w:pPr>
        <w:pStyle w:val="Paragraphedeliste"/>
        <w:numPr>
          <w:ilvl w:val="0"/>
          <w:numId w:val="17"/>
        </w:numPr>
        <w:rPr>
          <w:rFonts w:cs="Arial"/>
        </w:rPr>
      </w:pPr>
      <w:r w:rsidRPr="00A10143">
        <w:rPr>
          <w:rFonts w:cs="Arial"/>
        </w:rPr>
        <w:t>Écrire l’équation de réaction du dosage</w:t>
      </w:r>
      <w:r w:rsidR="00CE68E3">
        <w:rPr>
          <w:rFonts w:cs="Arial"/>
        </w:rPr>
        <w:t xml:space="preserve"> de l’ion hydrogénocarbonate par </w:t>
      </w:r>
      <w:r w:rsidR="00CE68E3" w:rsidRPr="00A10143">
        <w:t>l’acide chlorhydrique</w:t>
      </w:r>
      <w:r w:rsidRPr="00A10143">
        <w:rPr>
          <w:rFonts w:cs="Arial"/>
        </w:rPr>
        <w:t>.</w:t>
      </w:r>
    </w:p>
    <w:p w:rsidR="003C06C2" w:rsidRPr="00A10143" w:rsidRDefault="00A44A8F" w:rsidP="0058137C">
      <w:pPr>
        <w:pStyle w:val="Paragraphedeliste"/>
        <w:numPr>
          <w:ilvl w:val="0"/>
          <w:numId w:val="17"/>
        </w:numPr>
        <w:rPr>
          <w:rFonts w:cs="Arial"/>
        </w:rPr>
      </w:pPr>
      <w:r w:rsidRPr="00A10143">
        <w:rPr>
          <w:rFonts w:cs="Arial"/>
        </w:rPr>
        <w:t xml:space="preserve">La valeur du </w:t>
      </w:r>
      <w:r w:rsidRPr="00A10143">
        <w:rPr>
          <w:rFonts w:cs="Arial"/>
          <w:i/>
        </w:rPr>
        <w:t>pH</w:t>
      </w:r>
      <w:r w:rsidRPr="00A10143">
        <w:rPr>
          <w:rFonts w:cs="Arial"/>
        </w:rPr>
        <w:t xml:space="preserve"> à l’équivalence est </w:t>
      </w:r>
      <w:r w:rsidR="00994366" w:rsidRPr="00A10143">
        <w:rPr>
          <w:rFonts w:cs="Arial"/>
        </w:rPr>
        <w:t xml:space="preserve">4,6. </w:t>
      </w:r>
      <w:r w:rsidR="00D45389" w:rsidRPr="00A10143">
        <w:rPr>
          <w:rFonts w:cs="Arial"/>
        </w:rPr>
        <w:t>Q</w:t>
      </w:r>
      <w:r w:rsidR="00994366" w:rsidRPr="00A10143">
        <w:rPr>
          <w:rFonts w:cs="Arial"/>
        </w:rPr>
        <w:t>uel indicateur coloré peut-</w:t>
      </w:r>
      <w:r w:rsidR="00D45389" w:rsidRPr="00A10143">
        <w:rPr>
          <w:rFonts w:cs="Arial"/>
        </w:rPr>
        <w:t xml:space="preserve">il </w:t>
      </w:r>
      <w:r w:rsidR="00994366" w:rsidRPr="00A10143">
        <w:rPr>
          <w:rFonts w:cs="Arial"/>
        </w:rPr>
        <w:t>être utilisé pour effectuer ce dosage</w:t>
      </w:r>
      <w:r w:rsidR="00D45389" w:rsidRPr="00A10143">
        <w:rPr>
          <w:rFonts w:cs="Arial"/>
        </w:rPr>
        <w:t> ?</w:t>
      </w:r>
    </w:p>
    <w:p w:rsidR="00994366" w:rsidRPr="00A10143" w:rsidRDefault="00994366" w:rsidP="00994366">
      <w:pPr>
        <w:rPr>
          <w:rFonts w:cs="Arial"/>
        </w:rPr>
      </w:pPr>
    </w:p>
    <w:p w:rsidR="00994366" w:rsidRPr="00A10143" w:rsidRDefault="00994366">
      <w:pPr>
        <w:spacing w:after="0"/>
        <w:jc w:val="left"/>
        <w:rPr>
          <w:rFonts w:cs="Arial"/>
        </w:rPr>
      </w:pPr>
      <w:r w:rsidRPr="00A10143">
        <w:rPr>
          <w:rFonts w:cs="Arial"/>
        </w:rPr>
        <w:br w:type="page"/>
      </w:r>
    </w:p>
    <w:p w:rsidR="00994366" w:rsidRPr="00A10143" w:rsidRDefault="00994366" w:rsidP="00994366"/>
    <w:p w:rsidR="00050459" w:rsidRPr="00A10143" w:rsidRDefault="00050459" w:rsidP="005C4CF4">
      <w:pPr>
        <w:pStyle w:val="Sansinterligne"/>
      </w:pPr>
      <w:r w:rsidRPr="00A10143">
        <w:t>Exercice n°2</w:t>
      </w:r>
    </w:p>
    <w:p w:rsidR="00050459" w:rsidRPr="00A10143" w:rsidRDefault="00050459" w:rsidP="003C06C2">
      <w:pPr>
        <w:pStyle w:val="Titresoulign"/>
      </w:pPr>
      <w:r w:rsidRPr="00A10143">
        <w:t>Contexte du sujet</w:t>
      </w:r>
    </w:p>
    <w:p w:rsidR="00301CE6" w:rsidRDefault="007F411B" w:rsidP="003C06C2">
      <w:pPr>
        <w:pStyle w:val="Titresoulign"/>
        <w:rPr>
          <w:rFonts w:cs="Arial"/>
          <w:b w:val="0"/>
          <w:u w:val="none"/>
        </w:rPr>
      </w:pPr>
      <w:r w:rsidRPr="007F411B">
        <w:rPr>
          <w:rFonts w:cs="Arial"/>
          <w:b w:val="0"/>
          <w:u w:val="none"/>
        </w:rPr>
        <w:t xml:space="preserve">L’objectif du Plan </w:t>
      </w:r>
      <w:r w:rsidRPr="007F411B">
        <w:rPr>
          <w:rFonts w:cs="Arial"/>
          <w:b w:val="0"/>
          <w:i/>
          <w:u w:val="none"/>
        </w:rPr>
        <w:t>France Très Haut Débit</w:t>
      </w:r>
      <w:r w:rsidRPr="007F411B">
        <w:rPr>
          <w:rFonts w:cs="Arial"/>
          <w:b w:val="0"/>
          <w:u w:val="none"/>
        </w:rPr>
        <w:t xml:space="preserve"> est de permettre dès 2017 à 100% des foyers français d’accéder au </w:t>
      </w:r>
      <w:r w:rsidR="00CE68E3">
        <w:rPr>
          <w:rFonts w:cs="Arial"/>
          <w:b w:val="0"/>
          <w:u w:val="none"/>
        </w:rPr>
        <w:t>t</w:t>
      </w:r>
      <w:r w:rsidRPr="007F411B">
        <w:rPr>
          <w:rFonts w:cs="Arial"/>
          <w:b w:val="0"/>
          <w:u w:val="none"/>
        </w:rPr>
        <w:t xml:space="preserve">rès </w:t>
      </w:r>
      <w:r w:rsidR="00CE68E3">
        <w:rPr>
          <w:rFonts w:cs="Arial"/>
          <w:b w:val="0"/>
          <w:u w:val="none"/>
        </w:rPr>
        <w:t>h</w:t>
      </w:r>
      <w:r w:rsidRPr="007F411B">
        <w:rPr>
          <w:rFonts w:cs="Arial"/>
          <w:b w:val="0"/>
          <w:u w:val="none"/>
        </w:rPr>
        <w:t xml:space="preserve">aut </w:t>
      </w:r>
      <w:r w:rsidR="00CE68E3">
        <w:rPr>
          <w:rFonts w:cs="Arial"/>
          <w:b w:val="0"/>
          <w:u w:val="none"/>
        </w:rPr>
        <w:t>d</w:t>
      </w:r>
      <w:r w:rsidRPr="007F411B">
        <w:rPr>
          <w:rFonts w:cs="Arial"/>
          <w:b w:val="0"/>
          <w:u w:val="none"/>
        </w:rPr>
        <w:t xml:space="preserve">ébit, </w:t>
      </w:r>
      <w:r w:rsidR="00CE68E3">
        <w:rPr>
          <w:rFonts w:cs="Arial"/>
          <w:b w:val="0"/>
          <w:u w:val="none"/>
        </w:rPr>
        <w:t xml:space="preserve">des </w:t>
      </w:r>
      <w:r w:rsidRPr="007F411B">
        <w:rPr>
          <w:rFonts w:cs="Arial"/>
          <w:b w:val="0"/>
          <w:u w:val="none"/>
        </w:rPr>
        <w:t>satellite</w:t>
      </w:r>
      <w:r w:rsidR="00CE68E3">
        <w:rPr>
          <w:rFonts w:cs="Arial"/>
          <w:b w:val="0"/>
          <w:u w:val="none"/>
        </w:rPr>
        <w:t>s</w:t>
      </w:r>
      <w:r w:rsidRPr="007F411B">
        <w:rPr>
          <w:rFonts w:cs="Arial"/>
          <w:b w:val="0"/>
          <w:u w:val="none"/>
        </w:rPr>
        <w:t xml:space="preserve"> permettant </w:t>
      </w:r>
      <w:r w:rsidR="00E1583E">
        <w:rPr>
          <w:rFonts w:cs="Arial"/>
          <w:b w:val="0"/>
          <w:u w:val="none"/>
        </w:rPr>
        <w:t xml:space="preserve">idéalement </w:t>
      </w:r>
      <w:r w:rsidRPr="007F411B">
        <w:rPr>
          <w:rFonts w:cs="Arial"/>
          <w:b w:val="0"/>
          <w:u w:val="none"/>
        </w:rPr>
        <w:t>de compléter la couverture par fibre optique, dont le déploiement dans certaines zones rurales ou isolées se révèle difficile. THD-Sat permettra</w:t>
      </w:r>
      <w:r w:rsidR="00E1583E">
        <w:rPr>
          <w:rFonts w:cs="Arial"/>
          <w:b w:val="0"/>
          <w:u w:val="none"/>
        </w:rPr>
        <w:t xml:space="preserve"> de proposer </w:t>
      </w:r>
      <w:r w:rsidRPr="007F411B">
        <w:rPr>
          <w:rFonts w:cs="Arial"/>
          <w:b w:val="0"/>
          <w:u w:val="none"/>
        </w:rPr>
        <w:t xml:space="preserve">aux citoyens et aux entreprises une connexion Internet à très haut débit, ouvrant ainsi la voie au télétravail, à la télémédecine, ou encore à la télé-administration. </w:t>
      </w:r>
      <w:r w:rsidR="00E1583E">
        <w:rPr>
          <w:rFonts w:cs="Arial"/>
          <w:b w:val="0"/>
          <w:u w:val="none"/>
        </w:rPr>
        <w:t>U</w:t>
      </w:r>
      <w:r w:rsidRPr="007F411B">
        <w:rPr>
          <w:rFonts w:cs="Arial"/>
          <w:b w:val="0"/>
          <w:u w:val="none"/>
        </w:rPr>
        <w:t>n satellite THD-Sat</w:t>
      </w:r>
      <w:r w:rsidR="00CA21C9">
        <w:rPr>
          <w:rFonts w:cs="Arial"/>
          <w:b w:val="0"/>
          <w:u w:val="none"/>
        </w:rPr>
        <w:t xml:space="preserve">, en orbite à 36 000 km du sol terrestre, </w:t>
      </w:r>
      <w:r w:rsidRPr="007F411B">
        <w:rPr>
          <w:rFonts w:cs="Arial"/>
          <w:b w:val="0"/>
          <w:u w:val="none"/>
        </w:rPr>
        <w:t>offrira sur un territoire de la taille de la Franc</w:t>
      </w:r>
      <w:r w:rsidR="00E1583E">
        <w:rPr>
          <w:rFonts w:cs="Arial"/>
          <w:b w:val="0"/>
          <w:u w:val="none"/>
        </w:rPr>
        <w:t xml:space="preserve">e </w:t>
      </w:r>
      <w:r w:rsidR="00CA21C9">
        <w:rPr>
          <w:rFonts w:cs="Arial"/>
          <w:b w:val="0"/>
          <w:u w:val="none"/>
        </w:rPr>
        <w:t xml:space="preserve">vingt </w:t>
      </w:r>
      <w:r w:rsidRPr="007F411B">
        <w:rPr>
          <w:rFonts w:cs="Arial"/>
          <w:b w:val="0"/>
          <w:u w:val="none"/>
        </w:rPr>
        <w:t>fois plus de capacité que les satellites actuels.</w:t>
      </w:r>
    </w:p>
    <w:p w:rsidR="007F411B" w:rsidRDefault="00CA21C9" w:rsidP="00CA21C9">
      <w:pPr>
        <w:pStyle w:val="Titresoulign"/>
        <w:jc w:val="right"/>
        <w:rPr>
          <w:rFonts w:cs="Arial"/>
          <w:b w:val="0"/>
          <w:i/>
          <w:u w:val="none"/>
        </w:rPr>
      </w:pPr>
      <w:r w:rsidRPr="00CA21C9">
        <w:rPr>
          <w:rFonts w:cs="Arial"/>
          <w:b w:val="0"/>
          <w:i/>
          <w:u w:val="none"/>
        </w:rPr>
        <w:t xml:space="preserve">d’après </w:t>
      </w:r>
      <w:hyperlink r:id="rId15" w:history="1">
        <w:r w:rsidRPr="00CD451A">
          <w:rPr>
            <w:rStyle w:val="Lienhypertexte"/>
            <w:rFonts w:cs="Arial"/>
            <w:b w:val="0"/>
            <w:i/>
          </w:rPr>
          <w:t>https://cnes.fr/fr/web/CNES-fr/11149-ed-thd-sat-signature-entre-le-cnes-et-la-caisse-des-depots-et-consignations.php</w:t>
        </w:r>
      </w:hyperlink>
    </w:p>
    <w:p w:rsidR="00CA21C9" w:rsidRPr="00CA21C9" w:rsidRDefault="00CA21C9" w:rsidP="00CA21C9">
      <w:pPr>
        <w:pStyle w:val="Titresoulign"/>
        <w:jc w:val="right"/>
        <w:rPr>
          <w:rFonts w:cs="Arial"/>
          <w:b w:val="0"/>
          <w:i/>
          <w:u w:val="none"/>
        </w:rPr>
      </w:pPr>
    </w:p>
    <w:tbl>
      <w:tblPr>
        <w:tblStyle w:val="Grilledutableau"/>
        <w:tblW w:w="0" w:type="auto"/>
        <w:jc w:val="center"/>
        <w:tblLook w:val="04A0" w:firstRow="1" w:lastRow="0" w:firstColumn="1" w:lastColumn="0" w:noHBand="0" w:noVBand="1"/>
      </w:tblPr>
      <w:tblGrid>
        <w:gridCol w:w="2321"/>
        <w:gridCol w:w="2321"/>
        <w:gridCol w:w="4638"/>
      </w:tblGrid>
      <w:tr w:rsidR="00FD7B04" w:rsidRPr="00A10143" w:rsidTr="00FD7B04">
        <w:trPr>
          <w:jc w:val="center"/>
        </w:trPr>
        <w:tc>
          <w:tcPr>
            <w:tcW w:w="2321" w:type="dxa"/>
          </w:tcPr>
          <w:p w:rsidR="00994366" w:rsidRPr="00A10143" w:rsidRDefault="00994366" w:rsidP="008B5F70">
            <w:pPr>
              <w:jc w:val="center"/>
              <w:rPr>
                <w:rFonts w:cs="Arial"/>
                <w:szCs w:val="20"/>
              </w:rPr>
            </w:pPr>
            <w:r w:rsidRPr="00A10143">
              <w:rPr>
                <w:rFonts w:cs="Arial"/>
                <w:szCs w:val="20"/>
              </w:rPr>
              <w:t>Masse de la Terre</w:t>
            </w:r>
          </w:p>
          <w:p w:rsidR="00994366" w:rsidRPr="00A10143" w:rsidRDefault="00994366" w:rsidP="000471F2">
            <w:pPr>
              <w:jc w:val="center"/>
              <w:rPr>
                <w:rFonts w:cs="Arial"/>
                <w:szCs w:val="20"/>
              </w:rPr>
            </w:pPr>
            <w:r w:rsidRPr="00A10143">
              <w:rPr>
                <w:rFonts w:cs="Arial"/>
                <w:i/>
                <w:szCs w:val="20"/>
              </w:rPr>
              <w:t>M</w:t>
            </w:r>
            <w:r w:rsidRPr="00A10143">
              <w:rPr>
                <w:rFonts w:cs="Arial"/>
                <w:i/>
                <w:szCs w:val="20"/>
                <w:vertAlign w:val="subscript"/>
              </w:rPr>
              <w:t>T</w:t>
            </w:r>
            <w:r w:rsidRPr="00A10143">
              <w:rPr>
                <w:rFonts w:cs="Arial"/>
                <w:szCs w:val="20"/>
              </w:rPr>
              <w:t xml:space="preserve"> = </w:t>
            </w:r>
            <w:r w:rsidR="00695669" w:rsidRPr="00A10143">
              <w:rPr>
                <w:rFonts w:cs="Arial"/>
                <w:szCs w:val="20"/>
              </w:rPr>
              <w:t>6,0×</w:t>
            </w:r>
            <w:r w:rsidRPr="00A10143">
              <w:rPr>
                <w:rFonts w:cs="Arial"/>
                <w:szCs w:val="20"/>
              </w:rPr>
              <w:t>10</w:t>
            </w:r>
            <w:r w:rsidRPr="00A10143">
              <w:rPr>
                <w:rFonts w:cs="Arial"/>
                <w:szCs w:val="20"/>
                <w:vertAlign w:val="superscript"/>
              </w:rPr>
              <w:t>24</w:t>
            </w:r>
            <w:r w:rsidRPr="00A10143">
              <w:rPr>
                <w:rFonts w:cs="Arial"/>
                <w:szCs w:val="20"/>
              </w:rPr>
              <w:t xml:space="preserve"> kg</w:t>
            </w:r>
          </w:p>
        </w:tc>
        <w:tc>
          <w:tcPr>
            <w:tcW w:w="2321" w:type="dxa"/>
          </w:tcPr>
          <w:p w:rsidR="00994366" w:rsidRPr="00A10143" w:rsidRDefault="00994366" w:rsidP="008B5F70">
            <w:pPr>
              <w:jc w:val="center"/>
              <w:rPr>
                <w:rFonts w:cs="Arial"/>
                <w:szCs w:val="20"/>
              </w:rPr>
            </w:pPr>
            <w:r w:rsidRPr="00A10143">
              <w:rPr>
                <w:rFonts w:cs="Arial"/>
                <w:szCs w:val="20"/>
              </w:rPr>
              <w:t>Rayon de la Terre</w:t>
            </w:r>
          </w:p>
          <w:p w:rsidR="00994366" w:rsidRPr="00A10143" w:rsidRDefault="00994366" w:rsidP="008B5F70">
            <w:pPr>
              <w:jc w:val="center"/>
              <w:rPr>
                <w:rFonts w:cs="Arial"/>
                <w:szCs w:val="20"/>
              </w:rPr>
            </w:pPr>
            <w:r w:rsidRPr="00A10143">
              <w:rPr>
                <w:rFonts w:cs="Arial"/>
                <w:i/>
                <w:szCs w:val="20"/>
              </w:rPr>
              <w:t>R</w:t>
            </w:r>
            <w:r w:rsidRPr="00A10143">
              <w:rPr>
                <w:rFonts w:cs="Arial"/>
                <w:i/>
                <w:szCs w:val="20"/>
                <w:vertAlign w:val="subscript"/>
              </w:rPr>
              <w:t>T</w:t>
            </w:r>
            <w:r w:rsidRPr="00A10143">
              <w:rPr>
                <w:rFonts w:cs="Arial"/>
                <w:szCs w:val="20"/>
              </w:rPr>
              <w:t xml:space="preserve"> = 6</w:t>
            </w:r>
            <w:r w:rsidR="006A4719" w:rsidRPr="00A10143">
              <w:rPr>
                <w:rFonts w:cs="Arial"/>
                <w:szCs w:val="20"/>
              </w:rPr>
              <w:t> </w:t>
            </w:r>
            <w:r w:rsidRPr="00A10143">
              <w:rPr>
                <w:rFonts w:cs="Arial"/>
                <w:szCs w:val="20"/>
              </w:rPr>
              <w:t>378 km</w:t>
            </w:r>
          </w:p>
        </w:tc>
        <w:tc>
          <w:tcPr>
            <w:tcW w:w="4638" w:type="dxa"/>
          </w:tcPr>
          <w:p w:rsidR="00994366" w:rsidRPr="00A10143" w:rsidRDefault="00994366" w:rsidP="008B5F70">
            <w:pPr>
              <w:jc w:val="center"/>
              <w:rPr>
                <w:rFonts w:cs="Arial"/>
                <w:szCs w:val="20"/>
              </w:rPr>
            </w:pPr>
            <w:r w:rsidRPr="00A10143">
              <w:rPr>
                <w:rFonts w:cs="Arial"/>
                <w:szCs w:val="20"/>
              </w:rPr>
              <w:t>Constante de gravitation universelle</w:t>
            </w:r>
          </w:p>
          <w:p w:rsidR="00994366" w:rsidRPr="00A10143" w:rsidRDefault="00994366" w:rsidP="000471F2">
            <w:pPr>
              <w:jc w:val="center"/>
              <w:rPr>
                <w:rFonts w:cs="Arial"/>
                <w:szCs w:val="20"/>
                <w:vertAlign w:val="superscript"/>
              </w:rPr>
            </w:pPr>
            <w:r w:rsidRPr="00A10143">
              <w:rPr>
                <w:rFonts w:cs="Arial"/>
                <w:i/>
                <w:szCs w:val="20"/>
              </w:rPr>
              <w:t>G</w:t>
            </w:r>
            <w:r w:rsidRPr="00A10143">
              <w:rPr>
                <w:rFonts w:cs="Arial"/>
                <w:szCs w:val="20"/>
              </w:rPr>
              <w:t xml:space="preserve"> = 6,67×10</w:t>
            </w:r>
            <w:r w:rsidRPr="00A10143">
              <w:rPr>
                <w:rFonts w:cs="Arial"/>
                <w:szCs w:val="20"/>
                <w:vertAlign w:val="superscript"/>
              </w:rPr>
              <w:t>-11</w:t>
            </w:r>
            <w:r w:rsidR="00695669" w:rsidRPr="00A10143">
              <w:rPr>
                <w:rFonts w:cs="Arial"/>
                <w:szCs w:val="20"/>
              </w:rPr>
              <w:t> </w:t>
            </w:r>
            <w:r w:rsidRPr="00A10143">
              <w:rPr>
                <w:rFonts w:cs="Arial"/>
                <w:szCs w:val="20"/>
              </w:rPr>
              <w:t>m</w:t>
            </w:r>
            <w:r w:rsidRPr="00A10143">
              <w:rPr>
                <w:rFonts w:cs="Arial"/>
                <w:szCs w:val="20"/>
                <w:vertAlign w:val="superscript"/>
              </w:rPr>
              <w:t>3</w:t>
            </w:r>
            <w:r w:rsidRPr="00A10143">
              <w:rPr>
                <w:rFonts w:cs="Arial"/>
                <w:szCs w:val="20"/>
              </w:rPr>
              <w:t>.kg</w:t>
            </w:r>
            <w:r w:rsidRPr="00A10143">
              <w:rPr>
                <w:rFonts w:cs="Arial"/>
                <w:szCs w:val="20"/>
                <w:vertAlign w:val="superscript"/>
              </w:rPr>
              <w:t>-1</w:t>
            </w:r>
            <w:r w:rsidRPr="00A10143">
              <w:rPr>
                <w:rFonts w:cs="Arial"/>
                <w:szCs w:val="20"/>
              </w:rPr>
              <w:t>.s</w:t>
            </w:r>
            <w:r w:rsidRPr="00A10143">
              <w:rPr>
                <w:rFonts w:cs="Arial"/>
                <w:szCs w:val="20"/>
                <w:vertAlign w:val="superscript"/>
              </w:rPr>
              <w:t>-2</w:t>
            </w:r>
          </w:p>
        </w:tc>
      </w:tr>
    </w:tbl>
    <w:p w:rsidR="00994366" w:rsidRDefault="00994366" w:rsidP="00994366"/>
    <w:p w:rsidR="00CA21C9" w:rsidRPr="00A10143" w:rsidRDefault="00CA21C9" w:rsidP="00994366"/>
    <w:tbl>
      <w:tblPr>
        <w:tblStyle w:val="Grilledutableau"/>
        <w:tblW w:w="5000" w:type="pct"/>
        <w:tblCellMar>
          <w:top w:w="113" w:type="dxa"/>
          <w:bottom w:w="113" w:type="dxa"/>
        </w:tblCellMar>
        <w:tblLook w:val="04A0" w:firstRow="1" w:lastRow="0" w:firstColumn="1" w:lastColumn="0" w:noHBand="0" w:noVBand="1"/>
      </w:tblPr>
      <w:tblGrid>
        <w:gridCol w:w="10414"/>
      </w:tblGrid>
      <w:tr w:rsidR="00994366" w:rsidRPr="00A10143" w:rsidTr="005731CC">
        <w:trPr>
          <w:trHeight w:val="1542"/>
        </w:trPr>
        <w:tc>
          <w:tcPr>
            <w:tcW w:w="10338" w:type="dxa"/>
          </w:tcPr>
          <w:p w:rsidR="00994366" w:rsidRDefault="00A44A8F" w:rsidP="008B5F70">
            <w:pPr>
              <w:pStyle w:val="Titresoulign"/>
              <w:spacing w:before="0"/>
            </w:pPr>
            <w:r w:rsidRPr="00A10143">
              <w:t>O</w:t>
            </w:r>
            <w:r w:rsidR="00994366" w:rsidRPr="00A10143">
              <w:rPr>
                <w:rFonts w:cs="Arial"/>
                <w:szCs w:val="20"/>
              </w:rPr>
              <w:t>rbite géostationnaire</w:t>
            </w:r>
            <w:r w:rsidR="00994366" w:rsidRPr="00A10143">
              <w:t xml:space="preserve"> </w:t>
            </w:r>
          </w:p>
          <w:p w:rsidR="0061041A" w:rsidRPr="005731CC" w:rsidRDefault="005731CC" w:rsidP="005731CC">
            <w:pPr>
              <w:pStyle w:val="Titresoulign"/>
              <w:spacing w:before="240"/>
              <w:rPr>
                <w:rFonts w:cs="Arial"/>
                <w:b w:val="0"/>
                <w:szCs w:val="20"/>
                <w:u w:val="none"/>
              </w:rPr>
            </w:pPr>
            <w:r w:rsidRPr="005731CC">
              <w:rPr>
                <w:rFonts w:cs="Arial"/>
                <w:b w:val="0"/>
                <w:szCs w:val="20"/>
                <w:u w:val="none"/>
              </w:rPr>
              <w:t>L’orbite géostationnaire s'inscrit dans le plan équatorial de la Terre. Un corps en mouvement sur cette orbite possède dans le référentiel géocentrique une période de révolution très exactement égale à la période de rotation de la Terre sur elle-même (23 heures 56 minutes et 4 secondes soit 86 164 s). Il est donc immobile par rapport à tout point de la Terre.</w:t>
            </w:r>
          </w:p>
        </w:tc>
      </w:tr>
    </w:tbl>
    <w:p w:rsidR="00994366" w:rsidRPr="00A10143" w:rsidRDefault="00994366" w:rsidP="002569E1"/>
    <w:p w:rsidR="00994366" w:rsidRPr="00A10143" w:rsidRDefault="00994366" w:rsidP="00994366"/>
    <w:tbl>
      <w:tblPr>
        <w:tblStyle w:val="Grilledutableau"/>
        <w:tblW w:w="5000" w:type="pct"/>
        <w:tblCellMar>
          <w:top w:w="113" w:type="dxa"/>
          <w:bottom w:w="113" w:type="dxa"/>
        </w:tblCellMar>
        <w:tblLook w:val="04A0" w:firstRow="1" w:lastRow="0" w:firstColumn="1" w:lastColumn="0" w:noHBand="0" w:noVBand="1"/>
      </w:tblPr>
      <w:tblGrid>
        <w:gridCol w:w="10414"/>
      </w:tblGrid>
      <w:tr w:rsidR="00994366" w:rsidRPr="00A10143" w:rsidTr="00BC2307">
        <w:trPr>
          <w:trHeight w:val="1604"/>
        </w:trPr>
        <w:tc>
          <w:tcPr>
            <w:tcW w:w="10338" w:type="dxa"/>
          </w:tcPr>
          <w:p w:rsidR="00994366" w:rsidRPr="00A10143" w:rsidRDefault="00994366" w:rsidP="008B5F70">
            <w:pPr>
              <w:pStyle w:val="Titresoulign"/>
              <w:spacing w:before="0"/>
            </w:pPr>
            <w:r w:rsidRPr="00A10143">
              <w:rPr>
                <w:rFonts w:cs="Arial"/>
                <w:szCs w:val="20"/>
              </w:rPr>
              <w:t>3ème loi de Kepler</w:t>
            </w:r>
            <w:r w:rsidRPr="00A10143">
              <w:t xml:space="preserve"> </w:t>
            </w:r>
          </w:p>
          <w:p w:rsidR="00994366" w:rsidRPr="00A10143" w:rsidRDefault="00994366" w:rsidP="005731CC">
            <w:pPr>
              <w:spacing w:after="0"/>
            </w:pPr>
            <w:r w:rsidRPr="00A10143">
              <w:rPr>
                <w:rFonts w:cs="Arial"/>
                <w:szCs w:val="20"/>
              </w:rPr>
              <w:t>La 3</w:t>
            </w:r>
            <w:r w:rsidRPr="00A10143">
              <w:rPr>
                <w:rFonts w:cs="Arial"/>
                <w:szCs w:val="20"/>
                <w:vertAlign w:val="superscript"/>
              </w:rPr>
              <w:t>ème</w:t>
            </w:r>
            <w:r w:rsidRPr="00A10143">
              <w:rPr>
                <w:rFonts w:cs="Arial"/>
                <w:szCs w:val="20"/>
              </w:rPr>
              <w:t xml:space="preserve"> loi de Kepler indique que le carré de la période de révolution </w:t>
            </w:r>
            <w:r w:rsidR="005731CC" w:rsidRPr="005731CC">
              <w:rPr>
                <w:rFonts w:cs="Arial"/>
                <w:i/>
                <w:szCs w:val="20"/>
              </w:rPr>
              <w:t>T</w:t>
            </w:r>
            <w:r w:rsidR="005731CC">
              <w:rPr>
                <w:rFonts w:cs="Arial"/>
                <w:szCs w:val="20"/>
              </w:rPr>
              <w:t xml:space="preserve"> </w:t>
            </w:r>
            <w:r w:rsidRPr="00A10143">
              <w:rPr>
                <w:rFonts w:cs="Arial"/>
                <w:szCs w:val="20"/>
              </w:rPr>
              <w:t xml:space="preserve">d’un objet est proportionnel au cube du demi-grand axe </w:t>
            </w:r>
            <w:r w:rsidR="005731CC" w:rsidRPr="005731CC">
              <w:rPr>
                <w:rFonts w:cs="Arial"/>
                <w:i/>
                <w:szCs w:val="20"/>
              </w:rPr>
              <w:t>a</w:t>
            </w:r>
            <w:r w:rsidR="005731CC">
              <w:rPr>
                <w:rFonts w:cs="Arial"/>
                <w:szCs w:val="20"/>
              </w:rPr>
              <w:t xml:space="preserve"> </w:t>
            </w:r>
            <w:r w:rsidRPr="00A10143">
              <w:rPr>
                <w:rFonts w:cs="Arial"/>
                <w:szCs w:val="20"/>
              </w:rPr>
              <w:t xml:space="preserve">de la trajectoire elliptique de l’objet autour de l’astre considéré. </w:t>
            </w:r>
            <w:r w:rsidR="008E65B3" w:rsidRPr="008E65B3">
              <w:rPr>
                <w:rFonts w:cs="Arial"/>
              </w:rPr>
              <w:t>Ici, nous avons</w:t>
            </w:r>
            <w:r w:rsidR="00BC2307">
              <w:rPr>
                <w:rFonts w:cs="Arial"/>
              </w:rPr>
              <w:t> </w:t>
            </w:r>
            <w:proofErr w:type="gramStart"/>
            <w:r w:rsidR="00B40F5C">
              <w:rPr>
                <w:rFonts w:cs="Arial"/>
              </w:rPr>
              <w:t xml:space="preserve">: </w:t>
            </w:r>
            <w:r w:rsidR="008E65B3">
              <w:rPr>
                <w:rFonts w:cs="Arial"/>
                <w:b/>
              </w:rPr>
              <w:t xml:space="preserve"> </w:t>
            </w:r>
            <w:proofErr w:type="gramEnd"/>
            <w:r w:rsidR="00102507" w:rsidRPr="00102507">
              <w:rPr>
                <w:rFonts w:cs="Arial"/>
                <w:b/>
                <w:position w:val="-26"/>
              </w:rPr>
              <w:object w:dxaOrig="1180" w:dyaOrig="620">
                <v:shape id="_x0000_i1029" type="#_x0000_t75" style="width:59.75pt;height:30.55pt" o:ole="">
                  <v:imagedata r:id="rId16" o:title=""/>
                </v:shape>
                <o:OLEObject Type="Embed" ProgID="Equation.DSMT4" ShapeID="_x0000_i1029" DrawAspect="Content" ObjectID="_1520149276" r:id="rId17"/>
              </w:object>
            </w:r>
            <w:r w:rsidR="00102507">
              <w:rPr>
                <w:rFonts w:cs="Arial"/>
              </w:rPr>
              <w:t xml:space="preserve">, </w:t>
            </w:r>
            <w:r w:rsidR="0061041A" w:rsidRPr="005731CC">
              <w:rPr>
                <w:rFonts w:cs="Arial"/>
                <w:i/>
                <w:szCs w:val="20"/>
              </w:rPr>
              <w:t>M</w:t>
            </w:r>
            <w:r w:rsidR="0061041A" w:rsidRPr="005731CC">
              <w:rPr>
                <w:rFonts w:cs="Arial"/>
                <w:i/>
                <w:szCs w:val="20"/>
                <w:vertAlign w:val="subscript"/>
              </w:rPr>
              <w:t>T</w:t>
            </w:r>
            <w:r w:rsidR="0061041A" w:rsidRPr="005731CC">
              <w:rPr>
                <w:rFonts w:cs="Arial"/>
                <w:szCs w:val="20"/>
              </w:rPr>
              <w:t xml:space="preserve"> </w:t>
            </w:r>
            <w:proofErr w:type="spellStart"/>
            <w:r w:rsidR="005731CC" w:rsidRPr="005731CC">
              <w:rPr>
                <w:rFonts w:cs="Arial"/>
                <w:szCs w:val="20"/>
              </w:rPr>
              <w:t>designant</w:t>
            </w:r>
            <w:proofErr w:type="spellEnd"/>
            <w:r w:rsidR="005731CC" w:rsidRPr="005731CC">
              <w:rPr>
                <w:rFonts w:cs="Arial"/>
                <w:szCs w:val="20"/>
              </w:rPr>
              <w:t xml:space="preserve"> la </w:t>
            </w:r>
            <w:r w:rsidR="0061041A" w:rsidRPr="005731CC">
              <w:rPr>
                <w:rFonts w:cs="Arial"/>
                <w:szCs w:val="20"/>
              </w:rPr>
              <w:t>masse de la Terre</w:t>
            </w:r>
            <w:r w:rsidR="005731CC" w:rsidRPr="005731CC">
              <w:rPr>
                <w:rFonts w:cs="Arial"/>
                <w:szCs w:val="20"/>
              </w:rPr>
              <w:t>.</w:t>
            </w:r>
            <w:r w:rsidR="00102507" w:rsidRPr="005731CC">
              <w:rPr>
                <w:rFonts w:cs="Arial"/>
                <w:szCs w:val="20"/>
              </w:rPr>
              <w:t xml:space="preserve"> </w:t>
            </w:r>
          </w:p>
        </w:tc>
      </w:tr>
    </w:tbl>
    <w:p w:rsidR="00994366" w:rsidRPr="00A10143" w:rsidRDefault="00994366" w:rsidP="00994366"/>
    <w:p w:rsidR="00994366" w:rsidRPr="00A10143" w:rsidRDefault="003D6BD4" w:rsidP="00A10143">
      <w:pPr>
        <w:pStyle w:val="Titresoulign"/>
        <w:rPr>
          <w:rFonts w:cs="Arial"/>
          <w:szCs w:val="20"/>
          <w:u w:val="none"/>
        </w:rPr>
      </w:pPr>
      <w:r w:rsidRPr="00A10143">
        <w:t>Question</w:t>
      </w:r>
      <w:r w:rsidR="00A10143" w:rsidRPr="00A10143">
        <w:rPr>
          <w:u w:val="none"/>
        </w:rPr>
        <w:t> :</w:t>
      </w:r>
      <w:r w:rsidR="00A10143" w:rsidRPr="00A10143">
        <w:rPr>
          <w:b w:val="0"/>
          <w:u w:val="none"/>
        </w:rPr>
        <w:t xml:space="preserve"> </w:t>
      </w:r>
      <w:r w:rsidR="00BC2307" w:rsidRPr="00BC2307">
        <w:rPr>
          <w:u w:val="none"/>
        </w:rPr>
        <w:t>Montrer qu</w:t>
      </w:r>
      <w:r w:rsidR="00CA21C9">
        <w:rPr>
          <w:u w:val="none"/>
        </w:rPr>
        <w:t xml:space="preserve">’un satellite </w:t>
      </w:r>
      <w:r w:rsidR="00CA21C9" w:rsidRPr="00CA21C9">
        <w:rPr>
          <w:u w:val="none"/>
        </w:rPr>
        <w:t xml:space="preserve">THD-Sat </w:t>
      </w:r>
      <w:r w:rsidR="00994366" w:rsidRPr="00A10143">
        <w:rPr>
          <w:rFonts w:cs="Arial"/>
          <w:szCs w:val="20"/>
          <w:u w:val="none"/>
        </w:rPr>
        <w:t>est géostationnaire</w:t>
      </w:r>
      <w:r w:rsidR="00BC2307">
        <w:rPr>
          <w:rFonts w:cs="Arial"/>
          <w:szCs w:val="20"/>
          <w:u w:val="none"/>
        </w:rPr>
        <w:t>.</w:t>
      </w:r>
    </w:p>
    <w:p w:rsidR="00050459" w:rsidRPr="00A10143" w:rsidRDefault="00994366" w:rsidP="00994366">
      <w:r w:rsidRPr="00A10143">
        <w:rPr>
          <w:rFonts w:cs="Arial"/>
          <w:szCs w:val="20"/>
        </w:rPr>
        <w:t xml:space="preserve">Plusieurs démarches </w:t>
      </w:r>
      <w:r w:rsidR="00695669" w:rsidRPr="00A10143">
        <w:rPr>
          <w:rFonts w:cs="Arial"/>
          <w:szCs w:val="20"/>
        </w:rPr>
        <w:t xml:space="preserve">s’appuyant sur des calculs </w:t>
      </w:r>
      <w:r w:rsidRPr="00A10143">
        <w:rPr>
          <w:rFonts w:cs="Arial"/>
          <w:szCs w:val="20"/>
        </w:rPr>
        <w:t>sont possibles</w:t>
      </w:r>
      <w:r w:rsidR="00695669" w:rsidRPr="00A10143">
        <w:rPr>
          <w:rFonts w:cs="Arial"/>
          <w:szCs w:val="20"/>
        </w:rPr>
        <w:t>,</w:t>
      </w:r>
      <w:r w:rsidRPr="00A10143">
        <w:rPr>
          <w:rFonts w:cs="Arial"/>
          <w:szCs w:val="20"/>
        </w:rPr>
        <w:t xml:space="preserve"> et toute tentative de réponse sera valorisée</w:t>
      </w:r>
      <w:r w:rsidR="00A44A8F" w:rsidRPr="00A10143">
        <w:rPr>
          <w:rFonts w:cs="Arial"/>
          <w:szCs w:val="20"/>
        </w:rPr>
        <w:t>.</w:t>
      </w:r>
    </w:p>
    <w:p w:rsidR="00932A1B" w:rsidRPr="00A10143" w:rsidRDefault="00932A1B">
      <w:pPr>
        <w:rPr>
          <w:rFonts w:cs="Arial"/>
          <w:szCs w:val="20"/>
        </w:rPr>
      </w:pPr>
      <w:r w:rsidRPr="00A10143">
        <w:rPr>
          <w:rFonts w:cs="Arial"/>
          <w:szCs w:val="20"/>
        </w:rPr>
        <w:br w:type="page"/>
      </w:r>
    </w:p>
    <w:p w:rsidR="00C2093C" w:rsidRPr="00A10143" w:rsidRDefault="00F116DD" w:rsidP="00050459">
      <w:pPr>
        <w:pStyle w:val="Titre1"/>
      </w:pPr>
      <w:r w:rsidRPr="00A10143">
        <w:lastRenderedPageBreak/>
        <w:t xml:space="preserve">FICHE N° </w:t>
      </w:r>
      <w:r w:rsidR="005C4CF4" w:rsidRPr="00A10143">
        <w:t>3</w:t>
      </w:r>
      <w:r w:rsidRPr="00A10143">
        <w:t xml:space="preserve"> : </w:t>
      </w:r>
      <w:r w:rsidR="00FA60C3" w:rsidRPr="00A10143">
        <w:t>REP</w:t>
      </w:r>
      <w:r w:rsidR="00733430" w:rsidRPr="00A10143">
        <w:t>È</w:t>
      </w:r>
      <w:r w:rsidR="00FA60C3" w:rsidRPr="00A10143">
        <w:t>RES POUR L’</w:t>
      </w:r>
      <w:r w:rsidR="00733430" w:rsidRPr="00A10143">
        <w:t>É</w:t>
      </w:r>
      <w:r w:rsidR="00FA60C3" w:rsidRPr="00A10143">
        <w:t>VALUATION</w:t>
      </w:r>
      <w:r w:rsidR="00B9102C" w:rsidRPr="00A10143">
        <w:t xml:space="preserve"> DESTINÉS À L’EXAMINATEUR</w:t>
      </w:r>
    </w:p>
    <w:p w:rsidR="00B9102C" w:rsidRPr="00A10143" w:rsidRDefault="00B9102C" w:rsidP="003C06C2">
      <w:pPr>
        <w:pStyle w:val="Titresoulign"/>
      </w:pPr>
      <w:r w:rsidRPr="00A10143">
        <w:t>Notions et compétences du programme en lien avec le sujet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2"/>
        <w:gridCol w:w="5222"/>
      </w:tblGrid>
      <w:tr w:rsidR="00FD7B04" w:rsidRPr="00A10143" w:rsidTr="008B5F70">
        <w:trPr>
          <w:trHeight w:val="340"/>
        </w:trPr>
        <w:tc>
          <w:tcPr>
            <w:tcW w:w="5192" w:type="dxa"/>
          </w:tcPr>
          <w:p w:rsidR="00B9102C" w:rsidRPr="00A10143" w:rsidRDefault="00B9102C" w:rsidP="008B5F70">
            <w:pPr>
              <w:snapToGrid w:val="0"/>
              <w:spacing w:before="60"/>
              <w:jc w:val="center"/>
              <w:rPr>
                <w:rFonts w:cs="Arial"/>
                <w:b/>
                <w:szCs w:val="20"/>
              </w:rPr>
            </w:pPr>
            <w:r w:rsidRPr="00A10143">
              <w:rPr>
                <w:rFonts w:cs="Arial"/>
                <w:b/>
                <w:szCs w:val="20"/>
              </w:rPr>
              <w:t>Notions et contenus</w:t>
            </w:r>
          </w:p>
        </w:tc>
        <w:tc>
          <w:tcPr>
            <w:tcW w:w="5222" w:type="dxa"/>
            <w:shd w:val="clear" w:color="auto" w:fill="auto"/>
          </w:tcPr>
          <w:p w:rsidR="00B9102C" w:rsidRPr="00A10143" w:rsidRDefault="00B9102C" w:rsidP="008B5F70">
            <w:pPr>
              <w:snapToGrid w:val="0"/>
              <w:spacing w:before="60"/>
              <w:jc w:val="center"/>
              <w:rPr>
                <w:rFonts w:cs="Arial"/>
                <w:b/>
                <w:szCs w:val="20"/>
              </w:rPr>
            </w:pPr>
            <w:r w:rsidRPr="00A10143">
              <w:rPr>
                <w:rFonts w:cs="Arial"/>
                <w:b/>
                <w:szCs w:val="20"/>
              </w:rPr>
              <w:t>Compétences exigibles</w:t>
            </w:r>
          </w:p>
        </w:tc>
      </w:tr>
      <w:tr w:rsidR="00FD7B04" w:rsidRPr="00A10143" w:rsidTr="003C06C2">
        <w:tc>
          <w:tcPr>
            <w:tcW w:w="5192" w:type="dxa"/>
          </w:tcPr>
          <w:p w:rsidR="00D5785C" w:rsidRPr="00A10143" w:rsidRDefault="00D5785C" w:rsidP="00D5785C">
            <w:pPr>
              <w:widowControl w:val="0"/>
              <w:autoSpaceDE w:val="0"/>
              <w:autoSpaceDN w:val="0"/>
              <w:adjustRightInd w:val="0"/>
              <w:spacing w:after="0"/>
              <w:jc w:val="left"/>
              <w:rPr>
                <w:rFonts w:cs="Arial"/>
                <w:b/>
                <w:szCs w:val="20"/>
              </w:rPr>
            </w:pPr>
            <w:r w:rsidRPr="00A10143">
              <w:rPr>
                <w:rFonts w:cs="Arial"/>
                <w:b/>
                <w:szCs w:val="20"/>
              </w:rPr>
              <w:t>Réaction chimique par échange de proton</w:t>
            </w:r>
          </w:p>
          <w:p w:rsidR="00994366" w:rsidRPr="00A10143" w:rsidRDefault="00994366" w:rsidP="00D5785C">
            <w:pPr>
              <w:widowControl w:val="0"/>
              <w:autoSpaceDE w:val="0"/>
              <w:autoSpaceDN w:val="0"/>
              <w:adjustRightInd w:val="0"/>
              <w:spacing w:after="120"/>
              <w:jc w:val="left"/>
              <w:rPr>
                <w:rFonts w:cs="Arial"/>
                <w:szCs w:val="20"/>
              </w:rPr>
            </w:pPr>
            <w:r w:rsidRPr="00A10143">
              <w:rPr>
                <w:rFonts w:cs="Arial"/>
                <w:szCs w:val="20"/>
              </w:rPr>
              <w:t xml:space="preserve">Le </w:t>
            </w:r>
            <w:r w:rsidRPr="00A10143">
              <w:rPr>
                <w:rFonts w:cs="Arial"/>
                <w:i/>
                <w:szCs w:val="20"/>
              </w:rPr>
              <w:t>pH</w:t>
            </w:r>
            <w:r w:rsidRPr="00A10143">
              <w:rPr>
                <w:rFonts w:cs="Arial"/>
                <w:szCs w:val="20"/>
              </w:rPr>
              <w:t xml:space="preserve"> : définition, mesure. </w:t>
            </w:r>
          </w:p>
          <w:p w:rsidR="00B9102C" w:rsidRPr="00A10143" w:rsidRDefault="00994366" w:rsidP="00D5785C">
            <w:pPr>
              <w:pStyle w:val="Default"/>
              <w:spacing w:after="120"/>
              <w:jc w:val="both"/>
              <w:rPr>
                <w:color w:val="auto"/>
                <w:sz w:val="20"/>
                <w:szCs w:val="20"/>
              </w:rPr>
            </w:pPr>
            <w:r w:rsidRPr="00A10143">
              <w:rPr>
                <w:color w:val="auto"/>
                <w:sz w:val="20"/>
                <w:szCs w:val="20"/>
              </w:rPr>
              <w:t xml:space="preserve">Théorie de Brönsted : acides faibles, bases faibles ; notion d’équilibre ; couple acide-base ; constante d’acidité </w:t>
            </w:r>
            <w:r w:rsidRPr="00CE68E3">
              <w:rPr>
                <w:i/>
                <w:color w:val="auto"/>
                <w:sz w:val="20"/>
                <w:szCs w:val="20"/>
              </w:rPr>
              <w:t>K</w:t>
            </w:r>
            <w:r w:rsidRPr="00CE68E3">
              <w:rPr>
                <w:i/>
                <w:color w:val="auto"/>
                <w:position w:val="-6"/>
                <w:sz w:val="20"/>
                <w:szCs w:val="20"/>
              </w:rPr>
              <w:t>a</w:t>
            </w:r>
            <w:r w:rsidRPr="00A10143">
              <w:rPr>
                <w:color w:val="auto"/>
                <w:sz w:val="20"/>
                <w:szCs w:val="20"/>
              </w:rPr>
              <w:t xml:space="preserve">. Échelle des </w:t>
            </w:r>
            <w:r w:rsidRPr="00A10143">
              <w:rPr>
                <w:i/>
                <w:color w:val="auto"/>
                <w:sz w:val="20"/>
                <w:szCs w:val="20"/>
              </w:rPr>
              <w:t>pK</w:t>
            </w:r>
            <w:r w:rsidRPr="00A10143">
              <w:rPr>
                <w:i/>
                <w:color w:val="auto"/>
                <w:position w:val="-6"/>
                <w:sz w:val="20"/>
                <w:szCs w:val="20"/>
              </w:rPr>
              <w:t>a</w:t>
            </w:r>
            <w:r w:rsidRPr="00A10143">
              <w:rPr>
                <w:color w:val="auto"/>
                <w:position w:val="-6"/>
                <w:sz w:val="20"/>
                <w:szCs w:val="20"/>
              </w:rPr>
              <w:t xml:space="preserve"> </w:t>
            </w:r>
            <w:r w:rsidRPr="00A10143">
              <w:rPr>
                <w:color w:val="auto"/>
                <w:sz w:val="20"/>
                <w:szCs w:val="20"/>
              </w:rPr>
              <w:t>dans l’eau, produit ionique de l’eau ; domaines de prédominance (cas des acides carboxyliques, des amines, des acides α-aminés).</w:t>
            </w:r>
          </w:p>
        </w:tc>
        <w:tc>
          <w:tcPr>
            <w:tcW w:w="5222" w:type="dxa"/>
            <w:shd w:val="clear" w:color="auto" w:fill="auto"/>
          </w:tcPr>
          <w:p w:rsidR="00D5785C" w:rsidRPr="00A10143" w:rsidRDefault="00D5785C" w:rsidP="00994366">
            <w:pPr>
              <w:widowControl w:val="0"/>
              <w:autoSpaceDE w:val="0"/>
              <w:autoSpaceDN w:val="0"/>
              <w:adjustRightInd w:val="0"/>
              <w:spacing w:after="240"/>
              <w:jc w:val="left"/>
              <w:rPr>
                <w:rFonts w:cs="Arial"/>
                <w:szCs w:val="20"/>
              </w:rPr>
            </w:pPr>
          </w:p>
          <w:p w:rsidR="00994366" w:rsidRPr="00A10143" w:rsidRDefault="00994366" w:rsidP="00994366">
            <w:pPr>
              <w:widowControl w:val="0"/>
              <w:autoSpaceDE w:val="0"/>
              <w:autoSpaceDN w:val="0"/>
              <w:adjustRightInd w:val="0"/>
              <w:spacing w:after="240"/>
              <w:jc w:val="left"/>
              <w:rPr>
                <w:rFonts w:cs="Arial"/>
                <w:szCs w:val="20"/>
              </w:rPr>
            </w:pPr>
            <w:r w:rsidRPr="00A10143">
              <w:rPr>
                <w:rFonts w:cs="Arial"/>
                <w:szCs w:val="20"/>
              </w:rPr>
              <w:t>Reconnaître un acide, une base dans la théorie de Brönsted.</w:t>
            </w:r>
            <w:r w:rsidRPr="00A10143">
              <w:rPr>
                <w:rFonts w:ascii="MS Gothic" w:eastAsia="MS Gothic" w:hAnsi="MS Gothic" w:cs="MS Gothic"/>
                <w:szCs w:val="20"/>
              </w:rPr>
              <w:t> </w:t>
            </w:r>
            <w:r w:rsidRPr="00A10143">
              <w:rPr>
                <w:rFonts w:cs="Arial"/>
                <w:szCs w:val="20"/>
              </w:rPr>
              <w:t xml:space="preserve">Utiliser les symbolismes →, ← et </w:t>
            </w:r>
            <m:oMath>
              <m:r>
                <w:rPr>
                  <w:rFonts w:ascii="Cambria Math" w:hAnsi="Cambria Math" w:cs="Arial"/>
                  <w:szCs w:val="20"/>
                </w:rPr>
                <m:t>⇌</m:t>
              </m:r>
            </m:oMath>
            <w:r w:rsidRPr="00A10143">
              <w:rPr>
                <w:rFonts w:cs="Arial"/>
                <w:noProof/>
                <w:szCs w:val="20"/>
              </w:rPr>
              <w:drawing>
                <wp:inline distT="0" distB="0" distL="0" distR="0" wp14:anchorId="5F56A169" wp14:editId="197B2B57">
                  <wp:extent cx="11430" cy="11430"/>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10143">
              <w:rPr>
                <w:rFonts w:cs="Arial"/>
                <w:szCs w:val="20"/>
              </w:rPr>
              <w:t xml:space="preserve"> dans l’écriture des réactions chimiques pour rendre compte des situations observées. </w:t>
            </w:r>
          </w:p>
          <w:p w:rsidR="00B9102C" w:rsidRPr="00A10143" w:rsidRDefault="00994366" w:rsidP="00994366">
            <w:pPr>
              <w:pStyle w:val="Default"/>
              <w:jc w:val="both"/>
              <w:rPr>
                <w:color w:val="auto"/>
                <w:sz w:val="20"/>
                <w:szCs w:val="20"/>
              </w:rPr>
            </w:pPr>
            <w:r w:rsidRPr="00A10143">
              <w:rPr>
                <w:color w:val="auto"/>
                <w:sz w:val="20"/>
                <w:szCs w:val="20"/>
              </w:rPr>
              <w:t xml:space="preserve">Identifier l’espèce prédominante d’un couple acide-base connaissant le </w:t>
            </w:r>
            <w:r w:rsidRPr="00CE68E3">
              <w:rPr>
                <w:i/>
                <w:color w:val="auto"/>
                <w:sz w:val="20"/>
                <w:szCs w:val="20"/>
              </w:rPr>
              <w:t>pH</w:t>
            </w:r>
            <w:r w:rsidRPr="00A10143">
              <w:rPr>
                <w:color w:val="auto"/>
                <w:sz w:val="20"/>
                <w:szCs w:val="20"/>
              </w:rPr>
              <w:t xml:space="preserve"> du milieu et le </w:t>
            </w:r>
            <w:r w:rsidRPr="00CE68E3">
              <w:rPr>
                <w:i/>
                <w:color w:val="auto"/>
                <w:sz w:val="20"/>
                <w:szCs w:val="20"/>
              </w:rPr>
              <w:t>pK</w:t>
            </w:r>
            <w:r w:rsidRPr="00CE68E3">
              <w:rPr>
                <w:i/>
                <w:color w:val="auto"/>
                <w:position w:val="-6"/>
                <w:sz w:val="20"/>
                <w:szCs w:val="20"/>
              </w:rPr>
              <w:t>a</w:t>
            </w:r>
            <w:r w:rsidRPr="00A10143">
              <w:rPr>
                <w:color w:val="auto"/>
                <w:position w:val="-6"/>
                <w:sz w:val="20"/>
                <w:szCs w:val="20"/>
              </w:rPr>
              <w:t xml:space="preserve"> </w:t>
            </w:r>
            <w:r w:rsidRPr="00A10143">
              <w:rPr>
                <w:color w:val="auto"/>
                <w:sz w:val="20"/>
                <w:szCs w:val="20"/>
              </w:rPr>
              <w:t>du couple.</w:t>
            </w:r>
          </w:p>
        </w:tc>
      </w:tr>
      <w:tr w:rsidR="00FD7B04" w:rsidRPr="00A10143" w:rsidTr="003C06C2">
        <w:tc>
          <w:tcPr>
            <w:tcW w:w="5192" w:type="dxa"/>
          </w:tcPr>
          <w:p w:rsidR="00994366" w:rsidRPr="00A10143" w:rsidRDefault="00994366" w:rsidP="00994366">
            <w:pPr>
              <w:rPr>
                <w:rFonts w:cs="Arial"/>
                <w:szCs w:val="20"/>
                <w:lang w:eastAsia="ar-SA"/>
              </w:rPr>
            </w:pPr>
            <w:r w:rsidRPr="00A10143">
              <w:rPr>
                <w:rFonts w:cs="Arial"/>
                <w:szCs w:val="20"/>
                <w:lang w:eastAsia="ar-SA"/>
              </w:rPr>
              <w:t>Dosages par titrage direct.</w:t>
            </w:r>
            <w:r w:rsidRPr="00A10143">
              <w:rPr>
                <w:rFonts w:ascii="MS Gothic" w:eastAsia="MS Gothic" w:hAnsi="MS Gothic" w:cs="MS Gothic"/>
                <w:szCs w:val="20"/>
                <w:lang w:eastAsia="ar-SA"/>
              </w:rPr>
              <w:t> </w:t>
            </w:r>
          </w:p>
          <w:p w:rsidR="00B9102C" w:rsidRPr="00A10143" w:rsidRDefault="00994366" w:rsidP="00994366">
            <w:pPr>
              <w:pStyle w:val="Default"/>
              <w:jc w:val="both"/>
              <w:rPr>
                <w:color w:val="auto"/>
                <w:sz w:val="20"/>
                <w:szCs w:val="20"/>
              </w:rPr>
            </w:pPr>
            <w:r w:rsidRPr="00A10143">
              <w:rPr>
                <w:color w:val="auto"/>
                <w:sz w:val="20"/>
                <w:szCs w:val="20"/>
                <w:lang w:eastAsia="ar-SA"/>
              </w:rPr>
              <w:t>Réaction support de titrage ; caractère quantitatif. Équivalence dans un titrage ; repérage de l'équivalence par utilisation d’un indicateur de fin de réaction</w:t>
            </w:r>
          </w:p>
        </w:tc>
        <w:tc>
          <w:tcPr>
            <w:tcW w:w="5222" w:type="dxa"/>
            <w:shd w:val="clear" w:color="auto" w:fill="auto"/>
          </w:tcPr>
          <w:p w:rsidR="00D5785C" w:rsidRPr="00A10143" w:rsidRDefault="00D5785C" w:rsidP="008B5F70">
            <w:pPr>
              <w:pStyle w:val="Default"/>
              <w:jc w:val="both"/>
              <w:rPr>
                <w:color w:val="auto"/>
                <w:sz w:val="20"/>
                <w:szCs w:val="20"/>
                <w:lang w:eastAsia="ar-SA"/>
              </w:rPr>
            </w:pPr>
          </w:p>
          <w:p w:rsidR="00B9102C" w:rsidRPr="00A10143" w:rsidRDefault="00994366" w:rsidP="008B5F70">
            <w:pPr>
              <w:pStyle w:val="Default"/>
              <w:jc w:val="both"/>
              <w:rPr>
                <w:color w:val="auto"/>
                <w:sz w:val="20"/>
                <w:szCs w:val="20"/>
              </w:rPr>
            </w:pPr>
            <w:r w:rsidRPr="00A10143">
              <w:rPr>
                <w:color w:val="auto"/>
                <w:sz w:val="20"/>
                <w:szCs w:val="20"/>
                <w:lang w:eastAsia="ar-SA"/>
              </w:rPr>
              <w:t>Établir l’équation de la réaction support de titrage à partir d’un protocole expérimental.</w:t>
            </w:r>
          </w:p>
        </w:tc>
      </w:tr>
      <w:tr w:rsidR="00FD7B04" w:rsidRPr="00A10143" w:rsidTr="003C06C2">
        <w:tc>
          <w:tcPr>
            <w:tcW w:w="5192" w:type="dxa"/>
          </w:tcPr>
          <w:p w:rsidR="00994366" w:rsidRPr="00A10143" w:rsidRDefault="00994366" w:rsidP="00994366">
            <w:pPr>
              <w:suppressAutoHyphens/>
              <w:rPr>
                <w:rFonts w:eastAsia="Times New Roman" w:cs="Arial"/>
                <w:b/>
                <w:bCs/>
                <w:iCs/>
                <w:szCs w:val="20"/>
                <w:lang w:eastAsia="ar-SA"/>
              </w:rPr>
            </w:pPr>
            <w:r w:rsidRPr="00A10143">
              <w:rPr>
                <w:rFonts w:eastAsia="Times New Roman" w:cs="Arial"/>
                <w:b/>
                <w:bCs/>
                <w:iCs/>
                <w:szCs w:val="20"/>
                <w:lang w:eastAsia="ar-SA"/>
              </w:rPr>
              <w:t>Temps, cinématique et dynamique newtoniennes</w:t>
            </w:r>
          </w:p>
          <w:p w:rsidR="00994366" w:rsidRPr="00A10143" w:rsidRDefault="00994366" w:rsidP="00994366">
            <w:pPr>
              <w:suppressAutoHyphens/>
              <w:rPr>
                <w:rFonts w:eastAsia="Times New Roman" w:cs="Arial"/>
                <w:szCs w:val="20"/>
                <w:lang w:eastAsia="ar-SA"/>
              </w:rPr>
            </w:pPr>
            <w:r w:rsidRPr="00A10143">
              <w:rPr>
                <w:rFonts w:eastAsia="Times New Roman" w:cs="Arial"/>
                <w:szCs w:val="20"/>
                <w:lang w:eastAsia="ar-SA"/>
              </w:rPr>
              <w:t>Description du mouvement d’un point au cours du temps : vecteurs position, vitesse et accélération.</w:t>
            </w:r>
          </w:p>
          <w:p w:rsidR="00994366" w:rsidRPr="00A10143" w:rsidRDefault="00994366" w:rsidP="00994366">
            <w:pPr>
              <w:suppressAutoHyphens/>
              <w:rPr>
                <w:rFonts w:eastAsia="Times New Roman" w:cs="Arial"/>
                <w:szCs w:val="20"/>
                <w:lang w:eastAsia="ar-SA"/>
              </w:rPr>
            </w:pPr>
          </w:p>
          <w:p w:rsidR="00994366" w:rsidRPr="00A10143" w:rsidRDefault="00994366" w:rsidP="00994366">
            <w:pPr>
              <w:suppressAutoHyphens/>
              <w:rPr>
                <w:rFonts w:eastAsia="Times New Roman" w:cs="Arial"/>
                <w:szCs w:val="20"/>
                <w:lang w:eastAsia="ar-SA"/>
              </w:rPr>
            </w:pPr>
          </w:p>
          <w:p w:rsidR="00994366" w:rsidRPr="00A10143" w:rsidRDefault="00994366" w:rsidP="00994366">
            <w:pPr>
              <w:suppressAutoHyphens/>
              <w:rPr>
                <w:rFonts w:eastAsia="Times New Roman" w:cs="Arial"/>
                <w:szCs w:val="20"/>
                <w:lang w:eastAsia="ar-SA"/>
              </w:rPr>
            </w:pPr>
          </w:p>
          <w:p w:rsidR="00994366" w:rsidRPr="00A10143" w:rsidRDefault="00994366" w:rsidP="00994366">
            <w:pPr>
              <w:suppressAutoHyphens/>
              <w:rPr>
                <w:rFonts w:eastAsia="Times New Roman" w:cs="Arial"/>
                <w:szCs w:val="20"/>
                <w:lang w:eastAsia="ar-SA"/>
              </w:rPr>
            </w:pPr>
            <w:r w:rsidRPr="00A10143">
              <w:rPr>
                <w:rFonts w:eastAsia="Times New Roman" w:cs="Arial"/>
                <w:szCs w:val="20"/>
                <w:lang w:eastAsia="ar-SA"/>
              </w:rPr>
              <w:t>Mouvement d’un satellite.</w:t>
            </w:r>
          </w:p>
          <w:p w:rsidR="00994366" w:rsidRPr="00A10143" w:rsidRDefault="00994366" w:rsidP="00994366">
            <w:pPr>
              <w:suppressAutoHyphens/>
              <w:rPr>
                <w:rFonts w:eastAsia="Times New Roman" w:cs="Arial"/>
                <w:b/>
                <w:szCs w:val="20"/>
                <w:lang w:eastAsia="ar-SA"/>
              </w:rPr>
            </w:pPr>
          </w:p>
          <w:p w:rsidR="00994366" w:rsidRPr="00A10143" w:rsidRDefault="00994366" w:rsidP="00994366">
            <w:pPr>
              <w:suppressAutoHyphens/>
              <w:rPr>
                <w:rFonts w:eastAsia="Times New Roman" w:cs="Arial"/>
                <w:b/>
                <w:szCs w:val="20"/>
                <w:lang w:eastAsia="ar-SA"/>
              </w:rPr>
            </w:pPr>
          </w:p>
          <w:p w:rsidR="00113647" w:rsidRPr="00A10143" w:rsidRDefault="00113647" w:rsidP="00994366">
            <w:pPr>
              <w:suppressAutoHyphens/>
              <w:rPr>
                <w:rFonts w:eastAsia="Times New Roman" w:cs="Arial"/>
                <w:b/>
                <w:szCs w:val="20"/>
                <w:lang w:eastAsia="ar-SA"/>
              </w:rPr>
            </w:pPr>
          </w:p>
          <w:p w:rsidR="00994366" w:rsidRPr="00A10143" w:rsidRDefault="00994366" w:rsidP="00994366">
            <w:pPr>
              <w:rPr>
                <w:rFonts w:cs="Arial"/>
                <w:szCs w:val="20"/>
                <w:lang w:eastAsia="ar-SA"/>
              </w:rPr>
            </w:pPr>
            <w:r w:rsidRPr="00A10143">
              <w:rPr>
                <w:rFonts w:eastAsia="Times New Roman" w:cs="Arial"/>
                <w:szCs w:val="20"/>
                <w:lang w:eastAsia="ar-SA"/>
              </w:rPr>
              <w:t>Lois de Kepler.</w:t>
            </w:r>
          </w:p>
        </w:tc>
        <w:tc>
          <w:tcPr>
            <w:tcW w:w="5222" w:type="dxa"/>
            <w:shd w:val="clear" w:color="auto" w:fill="auto"/>
          </w:tcPr>
          <w:p w:rsidR="00994366" w:rsidRPr="00A10143" w:rsidRDefault="00994366" w:rsidP="00994366">
            <w:pPr>
              <w:suppressAutoHyphens/>
              <w:rPr>
                <w:rFonts w:eastAsia="Times New Roman" w:cs="Arial"/>
                <w:szCs w:val="20"/>
                <w:lang w:eastAsia="ar-SA"/>
              </w:rPr>
            </w:pPr>
            <w:r w:rsidRPr="00A10143">
              <w:rPr>
                <w:rFonts w:eastAsia="Times New Roman" w:cs="Arial"/>
                <w:szCs w:val="20"/>
                <w:lang w:eastAsia="ar-SA"/>
              </w:rPr>
              <w:t>Choisir un référentiel d’étude.</w:t>
            </w:r>
          </w:p>
          <w:p w:rsidR="00994366" w:rsidRPr="00A10143" w:rsidRDefault="00994366" w:rsidP="00994366">
            <w:pPr>
              <w:suppressAutoHyphens/>
              <w:rPr>
                <w:rFonts w:eastAsia="Times New Roman" w:cs="Arial"/>
                <w:szCs w:val="20"/>
                <w:lang w:eastAsia="ar-SA"/>
              </w:rPr>
            </w:pPr>
            <w:r w:rsidRPr="00A10143">
              <w:rPr>
                <w:rFonts w:eastAsia="Times New Roman" w:cs="Arial"/>
                <w:szCs w:val="20"/>
                <w:lang w:eastAsia="ar-SA"/>
              </w:rPr>
              <w:t xml:space="preserve">Définir et reconnaître des mouvements (rectiligne uniforme, rectiligne uniformément varié, circulaire uniforme, circulaire non uniforme) et donner dans chaque cas les caractéristiques du vecteur accélération. </w:t>
            </w:r>
          </w:p>
          <w:p w:rsidR="00994366" w:rsidRPr="00A10143" w:rsidRDefault="00994366" w:rsidP="00994366">
            <w:pPr>
              <w:suppressAutoHyphens/>
              <w:rPr>
                <w:rFonts w:eastAsia="Times New Roman" w:cs="Arial"/>
                <w:szCs w:val="20"/>
                <w:lang w:eastAsia="ar-SA"/>
              </w:rPr>
            </w:pPr>
          </w:p>
          <w:p w:rsidR="00994366" w:rsidRPr="00A10143" w:rsidRDefault="00994366" w:rsidP="00994366">
            <w:pPr>
              <w:suppressAutoHyphens/>
              <w:rPr>
                <w:rFonts w:eastAsia="Times New Roman" w:cs="Arial"/>
                <w:szCs w:val="20"/>
                <w:lang w:eastAsia="ar-SA"/>
              </w:rPr>
            </w:pPr>
            <w:r w:rsidRPr="00A10143">
              <w:rPr>
                <w:rFonts w:eastAsia="Times New Roman" w:cs="Arial"/>
                <w:szCs w:val="20"/>
                <w:lang w:eastAsia="ar-SA"/>
              </w:rPr>
              <w:t>Démontrer que, dans l’approximation des trajectoires circulaires, le mouvement d’un satellite, d’une planète, est uniforme. Établir l’expression de sa vitesse et de sa période.</w:t>
            </w:r>
          </w:p>
          <w:p w:rsidR="00994366" w:rsidRPr="00A10143" w:rsidRDefault="00994366" w:rsidP="00994366">
            <w:pPr>
              <w:suppressAutoHyphens/>
              <w:rPr>
                <w:rFonts w:eastAsia="Times New Roman" w:cs="Arial"/>
                <w:szCs w:val="20"/>
                <w:lang w:eastAsia="ar-SA"/>
              </w:rPr>
            </w:pPr>
          </w:p>
          <w:p w:rsidR="00994366" w:rsidRPr="00A10143" w:rsidRDefault="00994366" w:rsidP="00994366">
            <w:pPr>
              <w:pStyle w:val="Default"/>
              <w:jc w:val="both"/>
              <w:rPr>
                <w:color w:val="auto"/>
                <w:sz w:val="20"/>
                <w:szCs w:val="20"/>
              </w:rPr>
            </w:pPr>
            <w:r w:rsidRPr="00A10143">
              <w:rPr>
                <w:rFonts w:eastAsia="Times New Roman"/>
                <w:color w:val="auto"/>
                <w:sz w:val="20"/>
                <w:szCs w:val="20"/>
                <w:lang w:eastAsia="ar-SA"/>
              </w:rPr>
              <w:t>Connaître les trois lois de Kepler ; exploiter la troisième dans le cas d’un mouvement circulaire</w:t>
            </w:r>
          </w:p>
        </w:tc>
      </w:tr>
    </w:tbl>
    <w:p w:rsidR="0058137C" w:rsidRPr="00A10143" w:rsidRDefault="0058137C" w:rsidP="003C06C2">
      <w:pPr>
        <w:pStyle w:val="Titresoulign"/>
        <w:rPr>
          <w:b w:val="0"/>
          <w:u w:val="none"/>
        </w:rPr>
      </w:pPr>
    </w:p>
    <w:p w:rsidR="003475F5" w:rsidRPr="00A10143" w:rsidRDefault="003475F5" w:rsidP="003C06C2">
      <w:pPr>
        <w:pStyle w:val="Titresoulign"/>
      </w:pPr>
      <w:r w:rsidRPr="00A10143">
        <w:t xml:space="preserve">Éléments de correction à destination de l’examinateur </w:t>
      </w:r>
    </w:p>
    <w:tbl>
      <w:tblPr>
        <w:tblStyle w:val="Grilledutableau"/>
        <w:tblW w:w="0" w:type="auto"/>
        <w:tblLayout w:type="fixed"/>
        <w:tblLook w:val="04A0" w:firstRow="1" w:lastRow="0" w:firstColumn="1" w:lastColumn="0" w:noHBand="0" w:noVBand="1"/>
      </w:tblPr>
      <w:tblGrid>
        <w:gridCol w:w="8472"/>
        <w:gridCol w:w="1701"/>
      </w:tblGrid>
      <w:tr w:rsidR="00FD7B04" w:rsidRPr="00A10143" w:rsidTr="00B9102C">
        <w:tc>
          <w:tcPr>
            <w:tcW w:w="8472" w:type="dxa"/>
            <w:tcBorders>
              <w:top w:val="nil"/>
              <w:left w:val="nil"/>
              <w:bottom w:val="single" w:sz="4" w:space="0" w:color="auto"/>
              <w:right w:val="single" w:sz="4" w:space="0" w:color="auto"/>
            </w:tcBorders>
            <w:hideMark/>
          </w:tcPr>
          <w:p w:rsidR="00AB4497" w:rsidRPr="00A10143" w:rsidRDefault="00897C6A" w:rsidP="003C06C2">
            <w:pPr>
              <w:keepNext/>
              <w:keepLines/>
              <w:spacing w:before="120" w:line="264" w:lineRule="auto"/>
              <w:outlineLvl w:val="2"/>
              <w:rPr>
                <w:rFonts w:eastAsiaTheme="majorEastAsia" w:cstheme="majorBidi"/>
                <w:b/>
                <w:bCs/>
                <w:szCs w:val="22"/>
                <w:lang w:eastAsia="en-US"/>
              </w:rPr>
            </w:pPr>
            <w:r w:rsidRPr="00A10143">
              <w:rPr>
                <w:rFonts w:eastAsiaTheme="majorEastAsia" w:cstheme="majorBidi"/>
                <w:b/>
                <w:bCs/>
              </w:rPr>
              <w:t>Exercice n°1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497" w:rsidRPr="00A10143" w:rsidRDefault="00AB4497">
            <w:pPr>
              <w:keepNext/>
              <w:keepLines/>
              <w:spacing w:line="264" w:lineRule="auto"/>
              <w:outlineLvl w:val="2"/>
              <w:rPr>
                <w:rFonts w:eastAsiaTheme="majorEastAsia" w:cstheme="majorBidi"/>
                <w:b/>
                <w:bCs/>
                <w:szCs w:val="22"/>
                <w:lang w:eastAsia="en-US"/>
              </w:rPr>
            </w:pPr>
            <w:r w:rsidRPr="00A10143">
              <w:rPr>
                <w:rFonts w:eastAsiaTheme="majorEastAsia" w:cstheme="majorBidi"/>
                <w:b/>
                <w:bCs/>
              </w:rPr>
              <w:t>Compétences</w:t>
            </w:r>
          </w:p>
        </w:tc>
      </w:tr>
      <w:tr w:rsidR="00FD7B04" w:rsidRPr="00A10143" w:rsidTr="003C06C2">
        <w:tc>
          <w:tcPr>
            <w:tcW w:w="8472" w:type="dxa"/>
            <w:tcBorders>
              <w:top w:val="single" w:sz="4" w:space="0" w:color="auto"/>
              <w:left w:val="single" w:sz="4" w:space="0" w:color="auto"/>
              <w:bottom w:val="single" w:sz="4" w:space="0" w:color="auto"/>
              <w:right w:val="single" w:sz="4" w:space="0" w:color="auto"/>
            </w:tcBorders>
            <w:vAlign w:val="center"/>
          </w:tcPr>
          <w:p w:rsidR="00994366" w:rsidRPr="00A10143" w:rsidRDefault="00994366" w:rsidP="00994366">
            <w:pPr>
              <w:pStyle w:val="Paragraphedeliste"/>
              <w:numPr>
                <w:ilvl w:val="0"/>
                <w:numId w:val="15"/>
              </w:numPr>
              <w:rPr>
                <w:rFonts w:cs="Arial"/>
                <w:szCs w:val="20"/>
              </w:rPr>
            </w:pPr>
            <w:r w:rsidRPr="00A10143">
              <w:rPr>
                <w:rFonts w:cs="Arial"/>
                <w:szCs w:val="20"/>
              </w:rPr>
              <w:t>Espèce chimique capable de céder un ou plusieurs proton H</w:t>
            </w:r>
            <w:r w:rsidRPr="00A10143">
              <w:rPr>
                <w:rFonts w:cs="Arial"/>
                <w:szCs w:val="20"/>
                <w:vertAlign w:val="superscript"/>
              </w:rPr>
              <w:t>+</w:t>
            </w:r>
          </w:p>
          <w:p w:rsidR="00994366" w:rsidRPr="00A10143" w:rsidRDefault="00994366" w:rsidP="00994366">
            <w:pPr>
              <w:pStyle w:val="Paragraphedeliste"/>
              <w:numPr>
                <w:ilvl w:val="0"/>
                <w:numId w:val="15"/>
              </w:numPr>
              <w:rPr>
                <w:rFonts w:cs="Arial"/>
                <w:szCs w:val="20"/>
              </w:rPr>
            </w:pPr>
          </w:p>
          <w:p w:rsidR="0058137C" w:rsidRPr="00A10143" w:rsidRDefault="0058137C" w:rsidP="00994366">
            <w:pPr>
              <w:rPr>
                <w:rFonts w:cs="Arial"/>
                <w:szCs w:val="20"/>
              </w:rPr>
            </w:pPr>
            <w:r w:rsidRPr="00A10143">
              <w:rPr>
                <w:rFonts w:ascii="Helvetica" w:hAnsi="Helvetica" w:cs="Helvetica"/>
                <w:noProof/>
                <w:sz w:val="24"/>
              </w:rPr>
              <w:drawing>
                <wp:anchor distT="0" distB="0" distL="114300" distR="114300" simplePos="0" relativeHeight="251658240" behindDoc="1" locked="0" layoutInCell="1" allowOverlap="1" wp14:anchorId="253A5531" wp14:editId="49E2EF33">
                  <wp:simplePos x="0" y="0"/>
                  <wp:positionH relativeFrom="column">
                    <wp:posOffset>707390</wp:posOffset>
                  </wp:positionH>
                  <wp:positionV relativeFrom="paragraph">
                    <wp:posOffset>3810</wp:posOffset>
                  </wp:positionV>
                  <wp:extent cx="3402330" cy="636270"/>
                  <wp:effectExtent l="0" t="0" r="0" b="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19">
                            <a:extLst>
                              <a:ext uri="{28A0092B-C50C-407E-A947-70E740481C1C}">
                                <a14:useLocalDpi xmlns:a14="http://schemas.microsoft.com/office/drawing/2010/main" val="0"/>
                              </a:ext>
                            </a:extLst>
                          </a:blip>
                          <a:srcRect r="3722" b="14987"/>
                          <a:stretch/>
                        </pic:blipFill>
                        <pic:spPr bwMode="auto">
                          <a:xfrm>
                            <a:off x="0" y="0"/>
                            <a:ext cx="3402330" cy="636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137C" w:rsidRPr="00A10143" w:rsidRDefault="0058137C" w:rsidP="00994366">
            <w:pPr>
              <w:rPr>
                <w:rFonts w:cs="Arial"/>
                <w:szCs w:val="20"/>
              </w:rPr>
            </w:pPr>
          </w:p>
          <w:p w:rsidR="0058137C" w:rsidRPr="00A10143" w:rsidRDefault="0058137C" w:rsidP="00994366">
            <w:pPr>
              <w:rPr>
                <w:rFonts w:cs="Arial"/>
                <w:szCs w:val="20"/>
              </w:rPr>
            </w:pPr>
          </w:p>
          <w:p w:rsidR="00AB4497" w:rsidRPr="00A10143" w:rsidRDefault="00994366" w:rsidP="0058137C">
            <w:pPr>
              <w:pStyle w:val="Paragraphedeliste"/>
              <w:numPr>
                <w:ilvl w:val="0"/>
                <w:numId w:val="15"/>
              </w:numPr>
              <w:rPr>
                <w:lang w:eastAsia="en-US"/>
              </w:rPr>
            </w:pPr>
            <w:r w:rsidRPr="00A10143">
              <w:t>HCO</w:t>
            </w:r>
            <w:r w:rsidRPr="00A10143">
              <w:rPr>
                <w:vertAlign w:val="subscript"/>
              </w:rPr>
              <w:t>3</w:t>
            </w:r>
            <w:r w:rsidRPr="00A10143">
              <w:rPr>
                <w:vertAlign w:val="superscript"/>
              </w:rPr>
              <w:t>-</w:t>
            </w:r>
            <w:r w:rsidRPr="00A10143">
              <w:rPr>
                <w:vertAlign w:val="subscript"/>
              </w:rPr>
              <w:t>(aq)</w:t>
            </w:r>
          </w:p>
        </w:tc>
        <w:tc>
          <w:tcPr>
            <w:tcW w:w="1701" w:type="dxa"/>
            <w:tcBorders>
              <w:top w:val="single" w:sz="4" w:space="0" w:color="auto"/>
              <w:left w:val="single" w:sz="4" w:space="0" w:color="auto"/>
              <w:bottom w:val="single" w:sz="4" w:space="0" w:color="auto"/>
              <w:right w:val="single" w:sz="4" w:space="0" w:color="auto"/>
            </w:tcBorders>
          </w:tcPr>
          <w:p w:rsidR="00AB4497" w:rsidRPr="00A10143" w:rsidRDefault="00994366" w:rsidP="007726F9">
            <w:pPr>
              <w:spacing w:line="264" w:lineRule="auto"/>
              <w:rPr>
                <w:rFonts w:eastAsia="Calibri" w:cs="Times New Roman"/>
                <w:szCs w:val="20"/>
                <w:lang w:eastAsia="en-US"/>
              </w:rPr>
            </w:pPr>
            <w:r w:rsidRPr="00A10143">
              <w:rPr>
                <w:rFonts w:cs="Arial"/>
                <w:szCs w:val="20"/>
              </w:rPr>
              <w:t>R</w:t>
            </w:r>
            <w:r w:rsidR="007726F9" w:rsidRPr="00A10143">
              <w:rPr>
                <w:rFonts w:cs="Arial"/>
                <w:szCs w:val="20"/>
              </w:rPr>
              <w:t>CO</w:t>
            </w:r>
          </w:p>
        </w:tc>
      </w:tr>
      <w:tr w:rsidR="00FD7B04" w:rsidRPr="00A10143" w:rsidTr="003C06C2">
        <w:tc>
          <w:tcPr>
            <w:tcW w:w="8472" w:type="dxa"/>
            <w:tcBorders>
              <w:top w:val="single" w:sz="4" w:space="0" w:color="auto"/>
              <w:left w:val="single" w:sz="4" w:space="0" w:color="auto"/>
              <w:bottom w:val="single" w:sz="4" w:space="0" w:color="auto"/>
              <w:right w:val="single" w:sz="4" w:space="0" w:color="auto"/>
            </w:tcBorders>
            <w:vAlign w:val="center"/>
          </w:tcPr>
          <w:p w:rsidR="00AB4497" w:rsidRPr="00150C95" w:rsidRDefault="00994366" w:rsidP="00DF44D5">
            <w:pPr>
              <w:pStyle w:val="Paragraphedeliste"/>
              <w:numPr>
                <w:ilvl w:val="0"/>
                <w:numId w:val="15"/>
              </w:numPr>
              <w:rPr>
                <w:rFonts w:eastAsia="Calibri" w:cs="Times New Roman"/>
                <w:szCs w:val="20"/>
                <w:lang w:val="en-US" w:eastAsia="en-US"/>
              </w:rPr>
            </w:pPr>
            <w:r w:rsidRPr="00150C95">
              <w:rPr>
                <w:lang w:val="en-US"/>
              </w:rPr>
              <w:t>HCO</w:t>
            </w:r>
            <w:r w:rsidRPr="00150C95">
              <w:rPr>
                <w:vertAlign w:val="subscript"/>
                <w:lang w:val="en-US"/>
              </w:rPr>
              <w:t>3</w:t>
            </w:r>
            <w:r w:rsidRPr="00150C95">
              <w:rPr>
                <w:vertAlign w:val="superscript"/>
                <w:lang w:val="en-US"/>
              </w:rPr>
              <w:t>-</w:t>
            </w:r>
            <w:r w:rsidRPr="00150C95">
              <w:rPr>
                <w:vertAlign w:val="subscript"/>
                <w:lang w:val="en-US"/>
              </w:rPr>
              <w:t>(aq)</w:t>
            </w:r>
            <w:r w:rsidRPr="00150C95">
              <w:rPr>
                <w:lang w:val="en-US"/>
              </w:rPr>
              <w:t xml:space="preserve"> + H</w:t>
            </w:r>
            <w:r w:rsidR="004F0373" w:rsidRPr="00150C95">
              <w:rPr>
                <w:vertAlign w:val="subscript"/>
                <w:lang w:val="en-US"/>
              </w:rPr>
              <w:t>3</w:t>
            </w:r>
            <w:r w:rsidR="004F0373" w:rsidRPr="00150C95">
              <w:rPr>
                <w:lang w:val="en-US"/>
              </w:rPr>
              <w:t>O</w:t>
            </w:r>
            <w:r w:rsidRPr="00150C95">
              <w:rPr>
                <w:vertAlign w:val="superscript"/>
                <w:lang w:val="en-US"/>
              </w:rPr>
              <w:t>+</w:t>
            </w:r>
            <w:r w:rsidRPr="00150C95">
              <w:rPr>
                <w:vertAlign w:val="subscript"/>
                <w:lang w:val="en-US"/>
              </w:rPr>
              <w:t>(aq)</w:t>
            </w:r>
            <w:r w:rsidRPr="00150C95">
              <w:rPr>
                <w:lang w:val="en-US"/>
              </w:rPr>
              <w:t xml:space="preserve"> </w:t>
            </w:r>
            <w:r w:rsidRPr="00A10143">
              <w:sym w:font="Wingdings" w:char="F0E0"/>
            </w:r>
            <w:r w:rsidRPr="00150C95">
              <w:rPr>
                <w:lang w:val="en-US"/>
              </w:rPr>
              <w:t xml:space="preserve"> </w:t>
            </w:r>
            <w:r w:rsidR="00DF44D5" w:rsidRPr="00150C95">
              <w:rPr>
                <w:lang w:val="en-US"/>
              </w:rPr>
              <w:t>(</w:t>
            </w:r>
            <w:r w:rsidRPr="00150C95">
              <w:rPr>
                <w:lang w:val="en-US"/>
              </w:rPr>
              <w:t>CO</w:t>
            </w:r>
            <w:r w:rsidRPr="00150C95">
              <w:rPr>
                <w:vertAlign w:val="subscript"/>
                <w:lang w:val="en-US"/>
              </w:rPr>
              <w:t>2</w:t>
            </w:r>
            <w:r w:rsidRPr="00150C95">
              <w:rPr>
                <w:lang w:val="en-US"/>
              </w:rPr>
              <w:t>, H</w:t>
            </w:r>
            <w:r w:rsidRPr="00150C95">
              <w:rPr>
                <w:vertAlign w:val="subscript"/>
                <w:lang w:val="en-US"/>
              </w:rPr>
              <w:t>2</w:t>
            </w:r>
            <w:r w:rsidRPr="00150C95">
              <w:rPr>
                <w:lang w:val="en-US"/>
              </w:rPr>
              <w:t>O</w:t>
            </w:r>
            <w:r w:rsidR="00DF44D5" w:rsidRPr="00150C95">
              <w:rPr>
                <w:lang w:val="en-US"/>
              </w:rPr>
              <w:t>)</w:t>
            </w:r>
            <w:r w:rsidR="00B40F5C" w:rsidRPr="00150C95">
              <w:rPr>
                <w:vertAlign w:val="subscript"/>
                <w:lang w:val="en-US"/>
              </w:rPr>
              <w:t>(aq)</w:t>
            </w:r>
            <w:r w:rsidR="00DF44D5" w:rsidRPr="00150C95">
              <w:rPr>
                <w:lang w:val="en-US"/>
              </w:rPr>
              <w:t xml:space="preserve"> </w:t>
            </w:r>
            <w:r w:rsidR="004F0373" w:rsidRPr="00150C95">
              <w:rPr>
                <w:lang w:val="en-US"/>
              </w:rPr>
              <w:t>+ H</w:t>
            </w:r>
            <w:r w:rsidR="004F0373" w:rsidRPr="00150C95">
              <w:rPr>
                <w:vertAlign w:val="subscript"/>
                <w:lang w:val="en-US"/>
              </w:rPr>
              <w:t>2</w:t>
            </w:r>
            <w:r w:rsidR="004F0373" w:rsidRPr="00150C95">
              <w:rPr>
                <w:lang w:val="en-US"/>
              </w:rPr>
              <w:t>O</w:t>
            </w:r>
            <w:r w:rsidR="00B40F5C" w:rsidRPr="00150C95">
              <w:rPr>
                <w:vertAlign w:val="subscript"/>
                <w:lang w:val="en-US"/>
              </w:rPr>
              <w:t>(l)</w:t>
            </w:r>
          </w:p>
          <w:p w:rsidR="00B40F5C" w:rsidRPr="00B40F5C" w:rsidRDefault="00B40F5C" w:rsidP="00CE68E3">
            <w:pPr>
              <w:ind w:left="720"/>
              <w:rPr>
                <w:rFonts w:eastAsia="Calibri" w:cs="Times New Roman"/>
                <w:szCs w:val="20"/>
                <w:lang w:eastAsia="en-US"/>
              </w:rPr>
            </w:pPr>
            <w:r>
              <w:rPr>
                <w:rFonts w:eastAsia="Calibri" w:cs="Times New Roman"/>
                <w:szCs w:val="20"/>
                <w:lang w:eastAsia="en-US"/>
              </w:rPr>
              <w:t xml:space="preserve">Note : on acceptera </w:t>
            </w:r>
            <w:r w:rsidRPr="00A10143">
              <w:t>H</w:t>
            </w:r>
            <w:r w:rsidRPr="00A10143">
              <w:rPr>
                <w:vertAlign w:val="subscript"/>
              </w:rPr>
              <w:t>2</w:t>
            </w:r>
            <w:r w:rsidRPr="00A10143">
              <w:t>CO</w:t>
            </w:r>
            <w:r w:rsidRPr="00A10143">
              <w:rPr>
                <w:vertAlign w:val="subscript"/>
              </w:rPr>
              <w:t>3</w:t>
            </w:r>
            <w:r w:rsidRPr="00A10143">
              <w:rPr>
                <w:vertAlign w:val="superscript"/>
              </w:rPr>
              <w:t xml:space="preserve"> </w:t>
            </w:r>
            <w:r w:rsidRPr="00A10143">
              <w:rPr>
                <w:vertAlign w:val="subscript"/>
              </w:rPr>
              <w:t>(aq)</w:t>
            </w:r>
            <w:r>
              <w:t xml:space="preserve"> </w:t>
            </w:r>
            <w:r w:rsidR="00CE68E3">
              <w:t xml:space="preserve">au lieu de </w:t>
            </w:r>
            <w:r w:rsidRPr="00A10143">
              <w:t>(CO</w:t>
            </w:r>
            <w:r w:rsidRPr="00A10143">
              <w:rPr>
                <w:vertAlign w:val="subscript"/>
              </w:rPr>
              <w:t>2</w:t>
            </w:r>
            <w:r w:rsidRPr="00A10143">
              <w:t>, H</w:t>
            </w:r>
            <w:r w:rsidRPr="00A10143">
              <w:rPr>
                <w:vertAlign w:val="subscript"/>
              </w:rPr>
              <w:t>2</w:t>
            </w:r>
            <w:r w:rsidRPr="00A10143">
              <w:t>O)</w:t>
            </w:r>
            <w:r w:rsidRPr="00B40F5C">
              <w:rPr>
                <w:vertAlign w:val="subscript"/>
              </w:rPr>
              <w:t>(aq)</w:t>
            </w:r>
          </w:p>
        </w:tc>
        <w:tc>
          <w:tcPr>
            <w:tcW w:w="1701" w:type="dxa"/>
            <w:tcBorders>
              <w:top w:val="single" w:sz="4" w:space="0" w:color="auto"/>
              <w:left w:val="single" w:sz="4" w:space="0" w:color="auto"/>
              <w:bottom w:val="single" w:sz="4" w:space="0" w:color="auto"/>
              <w:right w:val="single" w:sz="4" w:space="0" w:color="auto"/>
            </w:tcBorders>
          </w:tcPr>
          <w:p w:rsidR="00AB4497" w:rsidRPr="00A10143" w:rsidRDefault="007726F9" w:rsidP="007726F9">
            <w:pPr>
              <w:spacing w:line="264" w:lineRule="auto"/>
              <w:rPr>
                <w:rFonts w:eastAsia="Calibri" w:cs="Times New Roman"/>
                <w:szCs w:val="20"/>
                <w:lang w:eastAsia="en-US"/>
              </w:rPr>
            </w:pPr>
            <w:r w:rsidRPr="00A10143">
              <w:rPr>
                <w:szCs w:val="20"/>
              </w:rPr>
              <w:t>RÉA</w:t>
            </w:r>
          </w:p>
        </w:tc>
      </w:tr>
      <w:tr w:rsidR="00FD7B04" w:rsidRPr="00A10143" w:rsidTr="000C2C10">
        <w:tc>
          <w:tcPr>
            <w:tcW w:w="8472" w:type="dxa"/>
            <w:tcBorders>
              <w:top w:val="single" w:sz="4" w:space="0" w:color="auto"/>
              <w:left w:val="single" w:sz="4" w:space="0" w:color="auto"/>
              <w:bottom w:val="single" w:sz="4" w:space="0" w:color="auto"/>
              <w:right w:val="single" w:sz="4" w:space="0" w:color="auto"/>
            </w:tcBorders>
            <w:vAlign w:val="center"/>
          </w:tcPr>
          <w:p w:rsidR="00FE3249" w:rsidRPr="00A10143" w:rsidRDefault="008E65B3" w:rsidP="008E65B3">
            <w:pPr>
              <w:pStyle w:val="Paragraphedeliste"/>
              <w:numPr>
                <w:ilvl w:val="0"/>
                <w:numId w:val="15"/>
              </w:numPr>
              <w:rPr>
                <w:rFonts w:eastAsia="Calibri" w:cs="Times New Roman"/>
                <w:szCs w:val="20"/>
                <w:lang w:eastAsia="en-US"/>
              </w:rPr>
            </w:pPr>
            <w:r>
              <w:t>On utilise du v</w:t>
            </w:r>
            <w:r w:rsidR="00994366" w:rsidRPr="00A10143">
              <w:t xml:space="preserve">ert de </w:t>
            </w:r>
            <w:r w:rsidR="00A10143">
              <w:t>b</w:t>
            </w:r>
            <w:r>
              <w:t xml:space="preserve">romocrésol, </w:t>
            </w:r>
            <w:r w:rsidR="00994366" w:rsidRPr="00A10143">
              <w:t xml:space="preserve">car  3,8 &lt; </w:t>
            </w:r>
            <w:r w:rsidR="00D45389" w:rsidRPr="00A10143">
              <w:t>4,6</w:t>
            </w:r>
            <w:r w:rsidR="00994366" w:rsidRPr="00A10143">
              <w:t xml:space="preserve"> &lt; 5,4</w:t>
            </w:r>
          </w:p>
        </w:tc>
        <w:tc>
          <w:tcPr>
            <w:tcW w:w="1701" w:type="dxa"/>
            <w:tcBorders>
              <w:top w:val="single" w:sz="4" w:space="0" w:color="auto"/>
              <w:left w:val="single" w:sz="4" w:space="0" w:color="auto"/>
              <w:bottom w:val="single" w:sz="4" w:space="0" w:color="auto"/>
              <w:right w:val="single" w:sz="4" w:space="0" w:color="auto"/>
            </w:tcBorders>
          </w:tcPr>
          <w:p w:rsidR="00A01B31" w:rsidRPr="00A10143" w:rsidRDefault="00A10143" w:rsidP="007726F9">
            <w:pPr>
              <w:spacing w:line="264" w:lineRule="auto"/>
              <w:rPr>
                <w:rFonts w:eastAsia="Calibri" w:cs="Times New Roman"/>
                <w:szCs w:val="20"/>
                <w:lang w:eastAsia="en-US"/>
              </w:rPr>
            </w:pPr>
            <w:r w:rsidRPr="00A10143">
              <w:rPr>
                <w:rFonts w:cs="Arial"/>
                <w:szCs w:val="20"/>
              </w:rPr>
              <w:t>RCO</w:t>
            </w:r>
          </w:p>
        </w:tc>
      </w:tr>
    </w:tbl>
    <w:p w:rsidR="00994366" w:rsidRPr="00A10143" w:rsidRDefault="00994366">
      <w:r w:rsidRPr="00A10143">
        <w:br w:type="page"/>
      </w:r>
    </w:p>
    <w:tbl>
      <w:tblPr>
        <w:tblStyle w:val="Grilledutableau"/>
        <w:tblpPr w:leftFromText="141" w:rightFromText="141" w:horzAnchor="margin" w:tblpY="405"/>
        <w:tblW w:w="0" w:type="auto"/>
        <w:tblLayout w:type="fixed"/>
        <w:tblLook w:val="04A0" w:firstRow="1" w:lastRow="0" w:firstColumn="1" w:lastColumn="0" w:noHBand="0" w:noVBand="1"/>
      </w:tblPr>
      <w:tblGrid>
        <w:gridCol w:w="8472"/>
        <w:gridCol w:w="1701"/>
      </w:tblGrid>
      <w:tr w:rsidR="00FD7B04" w:rsidRPr="00A10143" w:rsidTr="0058137C">
        <w:tc>
          <w:tcPr>
            <w:tcW w:w="8472" w:type="dxa"/>
            <w:tcBorders>
              <w:top w:val="nil"/>
              <w:left w:val="nil"/>
              <w:bottom w:val="single" w:sz="4" w:space="0" w:color="auto"/>
              <w:right w:val="single" w:sz="4" w:space="0" w:color="auto"/>
            </w:tcBorders>
            <w:vAlign w:val="center"/>
          </w:tcPr>
          <w:p w:rsidR="00AB4497" w:rsidRPr="00A10143" w:rsidRDefault="00897C6A" w:rsidP="0058137C">
            <w:pPr>
              <w:spacing w:before="120"/>
              <w:rPr>
                <w:rFonts w:eastAsia="Calibri" w:cs="Times New Roman"/>
                <w:szCs w:val="20"/>
                <w:lang w:eastAsia="en-US"/>
              </w:rPr>
            </w:pPr>
            <w:r w:rsidRPr="00A10143">
              <w:rPr>
                <w:rFonts w:eastAsiaTheme="majorEastAsia" w:cstheme="majorBidi"/>
                <w:b/>
                <w:bCs/>
              </w:rPr>
              <w:lastRenderedPageBreak/>
              <w:t>Exercice n°2</w:t>
            </w:r>
          </w:p>
        </w:tc>
        <w:tc>
          <w:tcPr>
            <w:tcW w:w="1701" w:type="dxa"/>
            <w:tcBorders>
              <w:top w:val="single" w:sz="4" w:space="0" w:color="auto"/>
              <w:left w:val="single" w:sz="4" w:space="0" w:color="auto"/>
              <w:bottom w:val="single" w:sz="4" w:space="0" w:color="auto"/>
              <w:right w:val="single" w:sz="4" w:space="0" w:color="auto"/>
            </w:tcBorders>
          </w:tcPr>
          <w:p w:rsidR="00AB4497" w:rsidRPr="00A10143" w:rsidRDefault="00463D17" w:rsidP="0058137C">
            <w:pPr>
              <w:spacing w:line="264" w:lineRule="auto"/>
              <w:rPr>
                <w:rFonts w:eastAsia="Calibri" w:cs="Times New Roman"/>
                <w:szCs w:val="20"/>
                <w:lang w:eastAsia="en-US"/>
              </w:rPr>
            </w:pPr>
            <w:r w:rsidRPr="00A10143">
              <w:rPr>
                <w:rFonts w:eastAsiaTheme="majorEastAsia" w:cstheme="majorBidi"/>
                <w:b/>
                <w:bCs/>
              </w:rPr>
              <w:t>Compétences</w:t>
            </w:r>
          </w:p>
        </w:tc>
      </w:tr>
      <w:tr w:rsidR="00FD7B04" w:rsidRPr="00A10143" w:rsidTr="0058137C">
        <w:tc>
          <w:tcPr>
            <w:tcW w:w="8472" w:type="dxa"/>
            <w:tcBorders>
              <w:top w:val="single" w:sz="4" w:space="0" w:color="auto"/>
              <w:left w:val="single" w:sz="4" w:space="0" w:color="auto"/>
              <w:bottom w:val="single" w:sz="4" w:space="0" w:color="auto"/>
              <w:right w:val="single" w:sz="4" w:space="0" w:color="auto"/>
            </w:tcBorders>
            <w:vAlign w:val="center"/>
          </w:tcPr>
          <w:p w:rsidR="00994366" w:rsidRPr="00A10143" w:rsidRDefault="00994366" w:rsidP="0058137C">
            <w:pPr>
              <w:contextualSpacing/>
              <w:rPr>
                <w:rFonts w:cs="Arial"/>
                <w:b/>
                <w:szCs w:val="20"/>
              </w:rPr>
            </w:pPr>
            <w:r w:rsidRPr="00A10143">
              <w:rPr>
                <w:rFonts w:cs="Arial"/>
                <w:b/>
                <w:szCs w:val="20"/>
              </w:rPr>
              <w:t>Démarche</w:t>
            </w:r>
          </w:p>
          <w:p w:rsidR="00463D17" w:rsidRPr="00A10143" w:rsidRDefault="00994366" w:rsidP="0058137C">
            <w:pPr>
              <w:rPr>
                <w:lang w:eastAsia="en-US"/>
              </w:rPr>
            </w:pPr>
            <w:r w:rsidRPr="00A10143">
              <w:rPr>
                <w:rFonts w:cs="Arial"/>
                <w:szCs w:val="20"/>
              </w:rPr>
              <w:t>Il ex</w:t>
            </w:r>
            <w:r w:rsidR="00DF44D5" w:rsidRPr="00A10143">
              <w:rPr>
                <w:rFonts w:cs="Arial"/>
                <w:szCs w:val="20"/>
              </w:rPr>
              <w:t>iste deux démarches possibles : s</w:t>
            </w:r>
            <w:r w:rsidRPr="00A10143">
              <w:rPr>
                <w:rFonts w:cs="Arial"/>
                <w:szCs w:val="20"/>
              </w:rPr>
              <w:t>oit le candidat calcule la période de révolution du satellite et confronte le résultat à la période de révolution de la Terre, soit le candidat calcule l’altitude du satellite et confronte le résultat à l’altitude d’un satellite géostationnaire</w:t>
            </w:r>
            <w:r w:rsidR="00DF44D5" w:rsidRPr="00A10143">
              <w:rPr>
                <w:rFonts w:cs="Arial"/>
                <w:szCs w:val="20"/>
              </w:rPr>
              <w:t>.</w:t>
            </w:r>
          </w:p>
        </w:tc>
        <w:tc>
          <w:tcPr>
            <w:tcW w:w="1701" w:type="dxa"/>
            <w:tcBorders>
              <w:top w:val="single" w:sz="4" w:space="0" w:color="auto"/>
              <w:left w:val="single" w:sz="4" w:space="0" w:color="auto"/>
              <w:bottom w:val="single" w:sz="4" w:space="0" w:color="auto"/>
              <w:right w:val="single" w:sz="4" w:space="0" w:color="auto"/>
            </w:tcBorders>
          </w:tcPr>
          <w:p w:rsidR="003F51E3" w:rsidRPr="00A10143" w:rsidRDefault="003F51E3" w:rsidP="0058137C">
            <w:pPr>
              <w:spacing w:line="264" w:lineRule="auto"/>
              <w:jc w:val="left"/>
              <w:rPr>
                <w:rFonts w:eastAsia="Calibri" w:cs="Times New Roman"/>
                <w:szCs w:val="20"/>
                <w:lang w:eastAsia="en-US"/>
              </w:rPr>
            </w:pPr>
          </w:p>
        </w:tc>
      </w:tr>
      <w:tr w:rsidR="00FD7B04" w:rsidRPr="00A10143" w:rsidTr="0058137C">
        <w:tc>
          <w:tcPr>
            <w:tcW w:w="8472" w:type="dxa"/>
            <w:tcBorders>
              <w:top w:val="single" w:sz="4" w:space="0" w:color="auto"/>
              <w:left w:val="single" w:sz="4" w:space="0" w:color="auto"/>
              <w:bottom w:val="single" w:sz="4" w:space="0" w:color="auto"/>
              <w:right w:val="single" w:sz="4" w:space="0" w:color="auto"/>
            </w:tcBorders>
            <w:vAlign w:val="center"/>
          </w:tcPr>
          <w:p w:rsidR="00994366" w:rsidRPr="00A10143" w:rsidRDefault="00994366" w:rsidP="00695669">
            <w:pPr>
              <w:pStyle w:val="Paragraphedeliste"/>
              <w:numPr>
                <w:ilvl w:val="0"/>
                <w:numId w:val="16"/>
              </w:numPr>
              <w:rPr>
                <w:rFonts w:eastAsia="MS Mincho" w:cs="Times New Roman"/>
                <w:szCs w:val="20"/>
              </w:rPr>
            </w:pPr>
            <w:r w:rsidRPr="00A10143">
              <w:rPr>
                <w:rFonts w:eastAsia="MS Mincho" w:cs="Times New Roman"/>
                <w:szCs w:val="20"/>
              </w:rPr>
              <w:t xml:space="preserve">Le candidat utilise la </w:t>
            </w:r>
            <w:r w:rsidR="00695669" w:rsidRPr="00A10143">
              <w:rPr>
                <w:rFonts w:eastAsia="MS Mincho" w:cs="Times New Roman"/>
                <w:szCs w:val="20"/>
              </w:rPr>
              <w:t xml:space="preserve">valeur de </w:t>
            </w:r>
            <w:r w:rsidR="00695669" w:rsidRPr="00A10143">
              <w:rPr>
                <w:rFonts w:eastAsia="MS Mincho" w:cs="Times New Roman"/>
                <w:i/>
                <w:szCs w:val="20"/>
              </w:rPr>
              <w:t>T</w:t>
            </w:r>
            <w:r w:rsidR="00695669" w:rsidRPr="00A10143">
              <w:rPr>
                <w:rFonts w:eastAsia="MS Mincho" w:cs="Times New Roman"/>
                <w:szCs w:val="20"/>
              </w:rPr>
              <w:t xml:space="preserve"> fournie dans l’énoncé (86 164 s) </w:t>
            </w:r>
            <w:r w:rsidRPr="00A10143">
              <w:rPr>
                <w:rFonts w:eastAsia="MS Mincho" w:cs="Times New Roman"/>
                <w:szCs w:val="20"/>
              </w:rPr>
              <w:t xml:space="preserve">et calcule </w:t>
            </w:r>
            <w:r w:rsidRPr="00A10143">
              <w:rPr>
                <w:rFonts w:eastAsia="MS Mincho" w:cs="Times New Roman"/>
                <w:i/>
                <w:szCs w:val="20"/>
              </w:rPr>
              <w:t>h</w:t>
            </w:r>
            <w:r w:rsidR="00695669" w:rsidRPr="00A10143">
              <w:rPr>
                <w:rFonts w:eastAsia="MS Mincho" w:cs="Times New Roman"/>
                <w:i/>
                <w:szCs w:val="20"/>
              </w:rPr>
              <w:t xml:space="preserve"> : </w:t>
            </w:r>
          </w:p>
          <w:p w:rsidR="00695669" w:rsidRPr="00A10143" w:rsidRDefault="00F8685E" w:rsidP="00A17CDE">
            <w:pPr>
              <w:pStyle w:val="Paragraphedeliste"/>
              <w:rPr>
                <w:rFonts w:cs="Arial"/>
                <w:b/>
              </w:rPr>
            </w:pPr>
            <w:r w:rsidRPr="00A10143">
              <w:rPr>
                <w:rFonts w:cs="Arial"/>
                <w:b/>
                <w:position w:val="-28"/>
              </w:rPr>
              <w:object w:dxaOrig="2140" w:dyaOrig="780">
                <v:shape id="_x0000_i1030" type="#_x0000_t75" style="width:108pt;height:39.4pt" o:ole="">
                  <v:imagedata r:id="rId20" o:title=""/>
                </v:shape>
                <o:OLEObject Type="Embed" ProgID="Equation.DSMT4" ShapeID="_x0000_i1030" DrawAspect="Content" ObjectID="_1520149277" r:id="rId21"/>
              </w:object>
            </w:r>
          </w:p>
          <w:p w:rsidR="00695669" w:rsidRPr="00A10143" w:rsidRDefault="00695669" w:rsidP="00A17CDE">
            <w:pPr>
              <w:pStyle w:val="Paragraphedeliste"/>
              <w:rPr>
                <w:rFonts w:cs="Arial"/>
                <w:b/>
              </w:rPr>
            </w:pPr>
            <w:r w:rsidRPr="00A10143">
              <w:rPr>
                <w:rFonts w:cs="Arial"/>
                <w:b/>
                <w:position w:val="-28"/>
              </w:rPr>
              <w:object w:dxaOrig="4620" w:dyaOrig="760">
                <v:shape id="_x0000_i1031" type="#_x0000_t75" style="width:230.95pt;height:38.05pt" o:ole="">
                  <v:imagedata r:id="rId22" o:title=""/>
                </v:shape>
                <o:OLEObject Type="Embed" ProgID="Equation.DSMT4" ShapeID="_x0000_i1031" DrawAspect="Content" ObjectID="_1520149278" r:id="rId23"/>
              </w:object>
            </w:r>
          </w:p>
          <w:p w:rsidR="00695669" w:rsidRPr="00A10143" w:rsidRDefault="00F8685E" w:rsidP="00A17CDE">
            <w:pPr>
              <w:pStyle w:val="Paragraphedeliste"/>
              <w:rPr>
                <w:rFonts w:cs="Arial"/>
                <w:b/>
              </w:rPr>
            </w:pPr>
            <w:r w:rsidRPr="00A10143">
              <w:rPr>
                <w:rFonts w:cs="Arial"/>
                <w:b/>
                <w:position w:val="-10"/>
              </w:rPr>
              <w:object w:dxaOrig="1480" w:dyaOrig="320">
                <v:shape id="_x0000_i1032" type="#_x0000_t75" style="width:74.7pt;height:14.95pt" o:ole="">
                  <v:imagedata r:id="rId24" o:title=""/>
                </v:shape>
                <o:OLEObject Type="Embed" ProgID="Equation.DSMT4" ShapeID="_x0000_i1032" DrawAspect="Content" ObjectID="_1520149279" r:id="rId25"/>
              </w:object>
            </w:r>
          </w:p>
          <w:p w:rsidR="00113647" w:rsidRPr="00A10143" w:rsidRDefault="00F8685E" w:rsidP="00A17CDE">
            <w:pPr>
              <w:rPr>
                <w:rFonts w:eastAsia="MS Mincho" w:cs="Times New Roman"/>
                <w:szCs w:val="20"/>
              </w:rPr>
            </w:pPr>
            <w:r w:rsidRPr="00A10143">
              <w:rPr>
                <w:rFonts w:eastAsia="MS Mincho" w:cs="Times New Roman"/>
                <w:szCs w:val="20"/>
              </w:rPr>
              <w:tab/>
            </w:r>
            <w:r w:rsidR="00994366" w:rsidRPr="00A10143">
              <w:rPr>
                <w:rFonts w:eastAsia="MS Mincho" w:cs="Times New Roman"/>
                <w:szCs w:val="20"/>
              </w:rPr>
              <w:t xml:space="preserve">ce qui est conforme à </w:t>
            </w:r>
            <w:r w:rsidR="00695669" w:rsidRPr="00A10143">
              <w:rPr>
                <w:rFonts w:eastAsia="MS Mincho" w:cs="Times New Roman"/>
                <w:szCs w:val="20"/>
              </w:rPr>
              <w:t>la valeur indiquée dans l’énoncé</w:t>
            </w:r>
            <w:r w:rsidRPr="00A10143">
              <w:rPr>
                <w:rFonts w:eastAsia="MS Mincho" w:cs="Times New Roman"/>
                <w:szCs w:val="20"/>
              </w:rPr>
              <w:t xml:space="preserve"> (3</w:t>
            </w:r>
            <w:r w:rsidR="00CA21C9">
              <w:rPr>
                <w:rFonts w:eastAsia="MS Mincho" w:cs="Times New Roman"/>
                <w:szCs w:val="20"/>
              </w:rPr>
              <w:t>6</w:t>
            </w:r>
            <w:r w:rsidRPr="00A10143">
              <w:rPr>
                <w:rFonts w:eastAsia="MS Mincho" w:cs="Times New Roman"/>
                <w:szCs w:val="20"/>
              </w:rPr>
              <w:t xml:space="preserve"> </w:t>
            </w:r>
            <w:r w:rsidR="00CA21C9">
              <w:rPr>
                <w:rFonts w:eastAsia="MS Mincho" w:cs="Times New Roman"/>
                <w:szCs w:val="20"/>
              </w:rPr>
              <w:t>000</w:t>
            </w:r>
            <w:r w:rsidRPr="00A10143">
              <w:rPr>
                <w:rFonts w:eastAsia="MS Mincho" w:cs="Times New Roman"/>
                <w:szCs w:val="20"/>
              </w:rPr>
              <w:t xml:space="preserve"> km)</w:t>
            </w:r>
            <w:r w:rsidR="00695669" w:rsidRPr="00A10143">
              <w:rPr>
                <w:rFonts w:eastAsia="MS Mincho" w:cs="Times New Roman"/>
                <w:szCs w:val="20"/>
              </w:rPr>
              <w:t xml:space="preserve">. </w:t>
            </w:r>
          </w:p>
          <w:p w:rsidR="00F8685E" w:rsidRPr="00A10143" w:rsidRDefault="00994366" w:rsidP="00695669">
            <w:pPr>
              <w:pStyle w:val="Paragraphedeliste"/>
              <w:numPr>
                <w:ilvl w:val="0"/>
                <w:numId w:val="16"/>
              </w:numPr>
              <w:rPr>
                <w:rFonts w:eastAsia="MS Mincho" w:cs="Times New Roman"/>
                <w:szCs w:val="20"/>
              </w:rPr>
            </w:pPr>
            <w:r w:rsidRPr="00A10143">
              <w:rPr>
                <w:rFonts w:eastAsia="MS Mincho" w:cs="Times New Roman"/>
                <w:szCs w:val="20"/>
              </w:rPr>
              <w:t xml:space="preserve">Le candidat utilise la </w:t>
            </w:r>
            <w:r w:rsidR="00695669" w:rsidRPr="00A10143">
              <w:rPr>
                <w:rFonts w:eastAsia="MS Mincho" w:cs="Times New Roman"/>
                <w:szCs w:val="20"/>
              </w:rPr>
              <w:t xml:space="preserve">valeur de 35 787 km fournie dans l’énoncé </w:t>
            </w:r>
            <w:r w:rsidRPr="00A10143">
              <w:rPr>
                <w:rFonts w:eastAsia="MS Mincho" w:cs="Times New Roman"/>
                <w:szCs w:val="20"/>
              </w:rPr>
              <w:t>et calcule</w:t>
            </w:r>
            <w:r w:rsidR="00695669" w:rsidRPr="00A10143">
              <w:rPr>
                <w:rFonts w:eastAsia="MS Mincho" w:cs="Times New Roman"/>
                <w:szCs w:val="20"/>
              </w:rPr>
              <w:t xml:space="preserve"> la valeur de </w:t>
            </w:r>
            <w:r w:rsidRPr="00A10143">
              <w:rPr>
                <w:rFonts w:eastAsia="MS Mincho" w:cs="Times New Roman"/>
                <w:i/>
                <w:szCs w:val="20"/>
              </w:rPr>
              <w:t>T</w:t>
            </w:r>
            <w:r w:rsidR="00695669" w:rsidRPr="00A10143">
              <w:rPr>
                <w:rFonts w:eastAsia="MS Mincho" w:cs="Times New Roman"/>
                <w:szCs w:val="20"/>
              </w:rPr>
              <w:t xml:space="preserve"> associée :</w:t>
            </w:r>
          </w:p>
          <w:p w:rsidR="00F8685E" w:rsidRPr="00A10143" w:rsidRDefault="00F8685E" w:rsidP="00A17CDE">
            <w:pPr>
              <w:pStyle w:val="Paragraphedeliste"/>
              <w:rPr>
                <w:rFonts w:cs="Arial"/>
                <w:b/>
              </w:rPr>
            </w:pPr>
            <w:r w:rsidRPr="00A10143">
              <w:rPr>
                <w:rFonts w:cs="Arial"/>
                <w:b/>
                <w:position w:val="-28"/>
              </w:rPr>
              <w:object w:dxaOrig="2060" w:dyaOrig="740">
                <v:shape id="_x0000_i1033" type="#_x0000_t75" style="width:102.55pt;height:36pt" o:ole="">
                  <v:imagedata r:id="rId26" o:title=""/>
                </v:shape>
                <o:OLEObject Type="Embed" ProgID="Equation.DSMT4" ShapeID="_x0000_i1033" DrawAspect="Content" ObjectID="_1520149280" r:id="rId27"/>
              </w:object>
            </w:r>
          </w:p>
          <w:p w:rsidR="00F8685E" w:rsidRPr="00A10143" w:rsidRDefault="00CA21C9" w:rsidP="00A17CDE">
            <w:pPr>
              <w:pStyle w:val="Paragraphedeliste"/>
              <w:rPr>
                <w:rFonts w:cs="Arial"/>
                <w:b/>
              </w:rPr>
            </w:pPr>
            <w:r w:rsidRPr="00A10143">
              <w:rPr>
                <w:rFonts w:cs="Arial"/>
                <w:b/>
                <w:position w:val="-26"/>
              </w:rPr>
              <w:object w:dxaOrig="3620" w:dyaOrig="760">
                <v:shape id="_x0000_i1034" type="#_x0000_t75" style="width:180pt;height:38.05pt" o:ole="">
                  <v:imagedata r:id="rId28" o:title=""/>
                </v:shape>
                <o:OLEObject Type="Embed" ProgID="Equation.DSMT4" ShapeID="_x0000_i1034" DrawAspect="Content" ObjectID="_1520149281" r:id="rId29"/>
              </w:object>
            </w:r>
          </w:p>
          <w:p w:rsidR="00994366" w:rsidRPr="00A10143" w:rsidRDefault="00CA21C9" w:rsidP="00A10143">
            <w:pPr>
              <w:pStyle w:val="Paragraphedeliste"/>
              <w:rPr>
                <w:rFonts w:eastAsia="MS Mincho" w:cs="Times New Roman"/>
                <w:szCs w:val="20"/>
              </w:rPr>
            </w:pPr>
            <w:r w:rsidRPr="00A10143">
              <w:rPr>
                <w:rFonts w:cs="Arial"/>
                <w:b/>
                <w:position w:val="-8"/>
              </w:rPr>
              <w:object w:dxaOrig="1280" w:dyaOrig="300">
                <v:shape id="_x0000_i1035" type="#_x0000_t75" style="width:64.55pt;height:14.25pt" o:ole="">
                  <v:imagedata r:id="rId30" o:title=""/>
                </v:shape>
                <o:OLEObject Type="Embed" ProgID="Equation.DSMT4" ShapeID="_x0000_i1035" DrawAspect="Content" ObjectID="_1520149282" r:id="rId31"/>
              </w:object>
            </w:r>
          </w:p>
          <w:p w:rsidR="00F8685E" w:rsidRPr="00A10143" w:rsidRDefault="00F8685E" w:rsidP="00CA21C9">
            <w:pPr>
              <w:rPr>
                <w:lang w:eastAsia="en-US"/>
              </w:rPr>
            </w:pPr>
            <w:r w:rsidRPr="00A10143">
              <w:rPr>
                <w:lang w:eastAsia="en-US"/>
              </w:rPr>
              <w:tab/>
              <w:t xml:space="preserve">ce qui est </w:t>
            </w:r>
            <w:r w:rsidR="00CA21C9">
              <w:rPr>
                <w:lang w:eastAsia="en-US"/>
              </w:rPr>
              <w:t xml:space="preserve">proche de </w:t>
            </w:r>
            <w:r w:rsidRPr="00A10143">
              <w:rPr>
                <w:lang w:eastAsia="en-US"/>
              </w:rPr>
              <w:t>la valeur indiquée dans l’énoncé (86 164 s).</w:t>
            </w:r>
          </w:p>
        </w:tc>
        <w:tc>
          <w:tcPr>
            <w:tcW w:w="1701" w:type="dxa"/>
            <w:tcBorders>
              <w:top w:val="single" w:sz="4" w:space="0" w:color="auto"/>
              <w:left w:val="single" w:sz="4" w:space="0" w:color="auto"/>
              <w:bottom w:val="single" w:sz="4" w:space="0" w:color="auto"/>
              <w:right w:val="single" w:sz="4" w:space="0" w:color="auto"/>
            </w:tcBorders>
          </w:tcPr>
          <w:p w:rsidR="00994366" w:rsidRPr="00A10143" w:rsidRDefault="00873F01" w:rsidP="0058137C">
            <w:pPr>
              <w:spacing w:line="264" w:lineRule="auto"/>
              <w:jc w:val="left"/>
              <w:rPr>
                <w:rFonts w:eastAsia="Calibri" w:cs="Times New Roman"/>
                <w:szCs w:val="20"/>
                <w:lang w:eastAsia="en-US"/>
              </w:rPr>
            </w:pPr>
            <w:r w:rsidRPr="00A10143">
              <w:rPr>
                <w:szCs w:val="20"/>
              </w:rPr>
              <w:t>RÉA</w:t>
            </w:r>
          </w:p>
        </w:tc>
      </w:tr>
      <w:tr w:rsidR="00FD7B04" w:rsidRPr="00A10143" w:rsidTr="00A17CDE">
        <w:trPr>
          <w:trHeight w:val="1000"/>
        </w:trPr>
        <w:tc>
          <w:tcPr>
            <w:tcW w:w="8472" w:type="dxa"/>
            <w:tcBorders>
              <w:top w:val="single" w:sz="4" w:space="0" w:color="auto"/>
              <w:left w:val="single" w:sz="4" w:space="0" w:color="auto"/>
              <w:bottom w:val="single" w:sz="4" w:space="0" w:color="auto"/>
              <w:right w:val="single" w:sz="4" w:space="0" w:color="auto"/>
            </w:tcBorders>
            <w:vAlign w:val="center"/>
          </w:tcPr>
          <w:p w:rsidR="00994366" w:rsidRPr="00A10143" w:rsidRDefault="00994366" w:rsidP="00CA21C9">
            <w:pPr>
              <w:rPr>
                <w:lang w:eastAsia="en-US"/>
              </w:rPr>
            </w:pPr>
            <w:r w:rsidRPr="00A10143">
              <w:rPr>
                <w:rFonts w:eastAsia="MS Mincho" w:cs="Times New Roman"/>
                <w:szCs w:val="20"/>
              </w:rPr>
              <w:t xml:space="preserve">Le candidat </w:t>
            </w:r>
            <w:r w:rsidR="00CA21C9">
              <w:rPr>
                <w:rFonts w:eastAsia="MS Mincho" w:cs="Times New Roman"/>
                <w:szCs w:val="20"/>
              </w:rPr>
              <w:t xml:space="preserve">compare </w:t>
            </w:r>
            <w:r w:rsidRPr="00A10143">
              <w:rPr>
                <w:rFonts w:eastAsia="MS Mincho" w:cs="Times New Roman"/>
                <w:szCs w:val="20"/>
              </w:rPr>
              <w:t xml:space="preserve">correctement </w:t>
            </w:r>
            <w:r w:rsidR="00F8685E" w:rsidRPr="00A10143">
              <w:rPr>
                <w:rFonts w:eastAsia="MS Mincho" w:cs="Times New Roman"/>
                <w:szCs w:val="20"/>
              </w:rPr>
              <w:t xml:space="preserve">la valeur numérique qu’il a calculée </w:t>
            </w:r>
            <w:r w:rsidR="00CA21C9">
              <w:rPr>
                <w:rFonts w:eastAsia="MS Mincho" w:cs="Times New Roman"/>
                <w:szCs w:val="20"/>
              </w:rPr>
              <w:t xml:space="preserve">avec </w:t>
            </w:r>
            <w:r w:rsidR="00F8685E" w:rsidRPr="00A10143">
              <w:rPr>
                <w:rFonts w:eastAsia="MS Mincho" w:cs="Times New Roman"/>
                <w:szCs w:val="20"/>
              </w:rPr>
              <w:t xml:space="preserve">celle fournie dans l’énoncé, </w:t>
            </w:r>
            <w:r w:rsidRPr="00A10143">
              <w:rPr>
                <w:rFonts w:eastAsia="MS Mincho" w:cs="Times New Roman"/>
                <w:szCs w:val="20"/>
              </w:rPr>
              <w:t xml:space="preserve">pour </w:t>
            </w:r>
            <w:r w:rsidR="00BC2307">
              <w:rPr>
                <w:rFonts w:eastAsia="MS Mincho" w:cs="Times New Roman"/>
                <w:szCs w:val="20"/>
              </w:rPr>
              <w:t xml:space="preserve">montrer </w:t>
            </w:r>
            <w:r w:rsidRPr="00A10143">
              <w:rPr>
                <w:rFonts w:eastAsia="MS Mincho" w:cs="Times New Roman"/>
                <w:szCs w:val="20"/>
              </w:rPr>
              <w:t>le caractère géostationnaire</w:t>
            </w:r>
            <w:r w:rsidR="00F8685E" w:rsidRPr="00A10143">
              <w:rPr>
                <w:rFonts w:eastAsia="MS Mincho" w:cs="Times New Roman"/>
                <w:szCs w:val="20"/>
              </w:rPr>
              <w:t xml:space="preserve"> du satellite. </w:t>
            </w:r>
          </w:p>
        </w:tc>
        <w:tc>
          <w:tcPr>
            <w:tcW w:w="1701" w:type="dxa"/>
            <w:tcBorders>
              <w:top w:val="single" w:sz="4" w:space="0" w:color="auto"/>
              <w:left w:val="single" w:sz="4" w:space="0" w:color="auto"/>
              <w:bottom w:val="single" w:sz="4" w:space="0" w:color="auto"/>
              <w:right w:val="single" w:sz="4" w:space="0" w:color="auto"/>
            </w:tcBorders>
          </w:tcPr>
          <w:p w:rsidR="00994366" w:rsidRPr="00A10143" w:rsidRDefault="00231A1C" w:rsidP="00873F01">
            <w:pPr>
              <w:spacing w:line="264" w:lineRule="auto"/>
              <w:jc w:val="left"/>
              <w:rPr>
                <w:rFonts w:cs="Arial"/>
                <w:szCs w:val="20"/>
              </w:rPr>
            </w:pPr>
            <w:r w:rsidRPr="00A10143">
              <w:rPr>
                <w:rFonts w:cs="Arial"/>
                <w:szCs w:val="20"/>
              </w:rPr>
              <w:t>VAL</w:t>
            </w:r>
          </w:p>
        </w:tc>
      </w:tr>
    </w:tbl>
    <w:p w:rsidR="00733430" w:rsidRPr="00A10143" w:rsidRDefault="00733430" w:rsidP="005C4CF4"/>
    <w:p w:rsidR="00B9102C" w:rsidRPr="00A10143" w:rsidRDefault="00B9102C">
      <w:pPr>
        <w:spacing w:after="0"/>
        <w:jc w:val="left"/>
        <w:rPr>
          <w:b/>
          <w:u w:val="single"/>
        </w:rPr>
      </w:pPr>
      <w:r w:rsidRPr="00A10143">
        <w:br w:type="page"/>
      </w:r>
    </w:p>
    <w:p w:rsidR="00370B02" w:rsidRPr="00A10143" w:rsidRDefault="00370B02" w:rsidP="003C06C2">
      <w:pPr>
        <w:pStyle w:val="Titresoulign"/>
      </w:pPr>
      <w:r w:rsidRPr="00A10143">
        <w:lastRenderedPageBreak/>
        <w:t>Questions ou solutions partielles permettant d’apporter une aide au candidat au cours de l’entretien</w:t>
      </w:r>
    </w:p>
    <w:p w:rsidR="00FE3249" w:rsidRPr="00A10143" w:rsidRDefault="00B9102C" w:rsidP="003C06C2">
      <w:pPr>
        <w:spacing w:before="120" w:line="360" w:lineRule="auto"/>
        <w:rPr>
          <w:b/>
        </w:rPr>
      </w:pPr>
      <w:r w:rsidRPr="00A10143">
        <w:rPr>
          <w:b/>
        </w:rPr>
        <w:t>Exercice 1</w:t>
      </w:r>
    </w:p>
    <w:p w:rsidR="00994366" w:rsidRPr="00A10143" w:rsidRDefault="00994366" w:rsidP="00994366">
      <w:pPr>
        <w:pStyle w:val="Paragraphedeliste"/>
        <w:numPr>
          <w:ilvl w:val="0"/>
          <w:numId w:val="13"/>
        </w:numPr>
      </w:pPr>
      <w:r w:rsidRPr="00A10143">
        <w:t>Orienter peut être l’élève vers la notion d’échange de proton.</w:t>
      </w:r>
    </w:p>
    <w:p w:rsidR="00994366" w:rsidRPr="00A10143" w:rsidRDefault="007F1B14" w:rsidP="00994366">
      <w:pPr>
        <w:pStyle w:val="Paragraphedeliste"/>
        <w:numPr>
          <w:ilvl w:val="0"/>
          <w:numId w:val="13"/>
        </w:numPr>
      </w:pPr>
      <w:r>
        <w:t xml:space="preserve">Rappeler </w:t>
      </w:r>
      <w:r w:rsidR="00994366" w:rsidRPr="00A10143">
        <w:t xml:space="preserve">la formule liant </w:t>
      </w:r>
      <w:r w:rsidR="00994366" w:rsidRPr="00A10143">
        <w:rPr>
          <w:i/>
        </w:rPr>
        <w:t>pH</w:t>
      </w:r>
      <w:r w:rsidR="00994366" w:rsidRPr="00A10143">
        <w:t xml:space="preserve"> et </w:t>
      </w:r>
      <w:r w:rsidR="00994366" w:rsidRPr="00A10143">
        <w:rPr>
          <w:i/>
        </w:rPr>
        <w:t>pKa</w:t>
      </w:r>
      <w:r w:rsidR="00994366" w:rsidRPr="00A10143">
        <w:t>.</w:t>
      </w:r>
    </w:p>
    <w:p w:rsidR="00994366" w:rsidRPr="00A10143" w:rsidRDefault="00994366" w:rsidP="00994366">
      <w:pPr>
        <w:pStyle w:val="Paragraphedeliste"/>
        <w:numPr>
          <w:ilvl w:val="0"/>
          <w:numId w:val="13"/>
        </w:numPr>
      </w:pPr>
      <w:r w:rsidRPr="00A10143">
        <w:t xml:space="preserve">Identifier espèce basique et </w:t>
      </w:r>
      <w:r w:rsidR="007F1B14">
        <w:t xml:space="preserve">espèce </w:t>
      </w:r>
      <w:r w:rsidRPr="00A10143">
        <w:t>acide dans le dosage.</w:t>
      </w:r>
    </w:p>
    <w:p w:rsidR="00994366" w:rsidRPr="00A10143" w:rsidRDefault="007F1B14" w:rsidP="00994366">
      <w:pPr>
        <w:pStyle w:val="Paragraphedeliste"/>
        <w:numPr>
          <w:ilvl w:val="0"/>
          <w:numId w:val="13"/>
        </w:numPr>
      </w:pPr>
      <w:r>
        <w:t>Demander au candidat : q</w:t>
      </w:r>
      <w:r w:rsidR="00994366" w:rsidRPr="00A10143">
        <w:t>uel est le réactif titrant ? Quel est le réactif titré ?</w:t>
      </w:r>
    </w:p>
    <w:p w:rsidR="00FE3249" w:rsidRPr="00A10143" w:rsidRDefault="00FE3249" w:rsidP="00FE3249"/>
    <w:p w:rsidR="00FE3249" w:rsidRPr="00A10143" w:rsidRDefault="00B9102C" w:rsidP="003C06C2">
      <w:pPr>
        <w:spacing w:before="120" w:line="360" w:lineRule="auto"/>
        <w:rPr>
          <w:b/>
        </w:rPr>
      </w:pPr>
      <w:r w:rsidRPr="00A10143">
        <w:rPr>
          <w:b/>
        </w:rPr>
        <w:t>Exercice 2</w:t>
      </w:r>
    </w:p>
    <w:p w:rsidR="00994366" w:rsidRDefault="00CE68E3" w:rsidP="00994366">
      <w:pPr>
        <w:pStyle w:val="Paragraphedeliste"/>
        <w:numPr>
          <w:ilvl w:val="0"/>
          <w:numId w:val="14"/>
        </w:numPr>
      </w:pPr>
      <w:r>
        <w:t xml:space="preserve">Interroger le </w:t>
      </w:r>
      <w:r w:rsidR="00994366" w:rsidRPr="00A10143">
        <w:t xml:space="preserve">lien entre </w:t>
      </w:r>
      <w:r w:rsidR="007F1B14">
        <w:t xml:space="preserve">le caractère </w:t>
      </w:r>
      <w:r w:rsidR="00994366" w:rsidRPr="00A10143">
        <w:t xml:space="preserve">géostationnaire et </w:t>
      </w:r>
      <w:r w:rsidR="007F1B14">
        <w:t xml:space="preserve">la </w:t>
      </w:r>
      <w:r w:rsidR="00994366" w:rsidRPr="00A10143">
        <w:t>période de rotation</w:t>
      </w:r>
      <w:r w:rsidR="00DF44D5" w:rsidRPr="00A10143">
        <w:t>.</w:t>
      </w:r>
    </w:p>
    <w:p w:rsidR="00CE68E3" w:rsidRPr="00A10143" w:rsidRDefault="00CE68E3" w:rsidP="00994366">
      <w:pPr>
        <w:pStyle w:val="Paragraphedeliste"/>
        <w:numPr>
          <w:ilvl w:val="0"/>
          <w:numId w:val="14"/>
        </w:numPr>
      </w:pPr>
      <w:r>
        <w:t xml:space="preserve">Interroger le lien entre le demi-grand axe </w:t>
      </w:r>
      <w:r w:rsidRPr="00CE68E3">
        <w:rPr>
          <w:i/>
        </w:rPr>
        <w:t>a</w:t>
      </w:r>
      <w:r>
        <w:t xml:space="preserve"> et l’altitude </w:t>
      </w:r>
      <w:r w:rsidRPr="00CE68E3">
        <w:rPr>
          <w:i/>
        </w:rPr>
        <w:t>h</w:t>
      </w:r>
      <w:r>
        <w:t>.</w:t>
      </w:r>
    </w:p>
    <w:p w:rsidR="00994366" w:rsidRPr="00A10143" w:rsidRDefault="007F1B14" w:rsidP="007F1B14">
      <w:pPr>
        <w:pStyle w:val="Paragraphedeliste"/>
        <w:numPr>
          <w:ilvl w:val="0"/>
          <w:numId w:val="14"/>
        </w:numPr>
      </w:pPr>
      <w:r>
        <w:t xml:space="preserve">Il est préférable de convertir les distances en mètres avant de réaliser le calcul. </w:t>
      </w:r>
    </w:p>
    <w:p w:rsidR="006A6BEB" w:rsidRPr="00A10143" w:rsidRDefault="006A6BEB">
      <w:pPr>
        <w:spacing w:after="0"/>
        <w:jc w:val="left"/>
      </w:pPr>
    </w:p>
    <w:p w:rsidR="004F5E93" w:rsidRPr="00A10143" w:rsidRDefault="005C4CF4" w:rsidP="003C06C2">
      <w:pPr>
        <w:pStyle w:val="Titresoulign"/>
      </w:pPr>
      <w:r w:rsidRPr="00A10143">
        <w:t>Grille d’évaluation</w:t>
      </w:r>
    </w:p>
    <w:tbl>
      <w:tblPr>
        <w:tblStyle w:val="Grilledutableau"/>
        <w:tblW w:w="9889" w:type="dxa"/>
        <w:tblLayout w:type="fixed"/>
        <w:tblLook w:val="04A0" w:firstRow="1" w:lastRow="0" w:firstColumn="1" w:lastColumn="0" w:noHBand="0" w:noVBand="1"/>
      </w:tblPr>
      <w:tblGrid>
        <w:gridCol w:w="1728"/>
        <w:gridCol w:w="6319"/>
        <w:gridCol w:w="460"/>
        <w:gridCol w:w="461"/>
        <w:gridCol w:w="460"/>
        <w:gridCol w:w="461"/>
      </w:tblGrid>
      <w:tr w:rsidR="00FD7B04" w:rsidRPr="00A10143" w:rsidTr="00A01B31">
        <w:tc>
          <w:tcPr>
            <w:tcW w:w="1728" w:type="dxa"/>
            <w:vMerge w:val="restart"/>
            <w:vAlign w:val="center"/>
          </w:tcPr>
          <w:p w:rsidR="005C4CF4" w:rsidRPr="00A10143" w:rsidRDefault="005C4CF4" w:rsidP="005C4CF4">
            <w:pPr>
              <w:spacing w:after="0"/>
              <w:jc w:val="center"/>
              <w:rPr>
                <w:b/>
                <w:szCs w:val="20"/>
              </w:rPr>
            </w:pPr>
            <w:r w:rsidRPr="00A10143">
              <w:rPr>
                <w:b/>
                <w:szCs w:val="20"/>
              </w:rPr>
              <w:t>Compétences</w:t>
            </w:r>
          </w:p>
        </w:tc>
        <w:tc>
          <w:tcPr>
            <w:tcW w:w="6319" w:type="dxa"/>
            <w:vMerge w:val="restart"/>
            <w:vAlign w:val="center"/>
          </w:tcPr>
          <w:p w:rsidR="005C4CF4" w:rsidRPr="00A10143" w:rsidRDefault="005C4CF4" w:rsidP="005C4CF4">
            <w:pPr>
              <w:spacing w:after="0"/>
              <w:jc w:val="center"/>
              <w:rPr>
                <w:b/>
                <w:szCs w:val="20"/>
              </w:rPr>
            </w:pPr>
            <w:r w:rsidRPr="00A10143">
              <w:rPr>
                <w:b/>
                <w:szCs w:val="20"/>
              </w:rPr>
              <w:t>Critère</w:t>
            </w:r>
            <w:r w:rsidR="009B77C1" w:rsidRPr="00A10143">
              <w:rPr>
                <w:b/>
                <w:szCs w:val="20"/>
              </w:rPr>
              <w:t>s</w:t>
            </w:r>
            <w:r w:rsidRPr="00A10143">
              <w:rPr>
                <w:b/>
                <w:szCs w:val="20"/>
              </w:rPr>
              <w:t xml:space="preserve"> de réussite</w:t>
            </w:r>
          </w:p>
        </w:tc>
        <w:tc>
          <w:tcPr>
            <w:tcW w:w="1842" w:type="dxa"/>
            <w:gridSpan w:val="4"/>
            <w:vAlign w:val="center"/>
          </w:tcPr>
          <w:p w:rsidR="005C4CF4" w:rsidRPr="00A10143" w:rsidRDefault="005C4CF4" w:rsidP="005C4CF4">
            <w:pPr>
              <w:spacing w:after="0"/>
              <w:jc w:val="center"/>
              <w:rPr>
                <w:b/>
                <w:szCs w:val="20"/>
              </w:rPr>
            </w:pPr>
            <w:r w:rsidRPr="00A10143">
              <w:rPr>
                <w:b/>
                <w:szCs w:val="20"/>
              </w:rPr>
              <w:t>Niveau</w:t>
            </w:r>
          </w:p>
        </w:tc>
      </w:tr>
      <w:tr w:rsidR="00FD7B04" w:rsidRPr="00A10143" w:rsidTr="00A01B31">
        <w:trPr>
          <w:trHeight w:val="606"/>
        </w:trPr>
        <w:tc>
          <w:tcPr>
            <w:tcW w:w="1728" w:type="dxa"/>
            <w:vMerge/>
            <w:vAlign w:val="center"/>
          </w:tcPr>
          <w:p w:rsidR="005C4CF4" w:rsidRPr="00A10143" w:rsidRDefault="005C4CF4" w:rsidP="005C4CF4">
            <w:pPr>
              <w:spacing w:after="0"/>
              <w:jc w:val="center"/>
              <w:rPr>
                <w:b/>
                <w:szCs w:val="20"/>
              </w:rPr>
            </w:pPr>
          </w:p>
        </w:tc>
        <w:tc>
          <w:tcPr>
            <w:tcW w:w="6319" w:type="dxa"/>
            <w:vMerge/>
            <w:vAlign w:val="center"/>
          </w:tcPr>
          <w:p w:rsidR="005C4CF4" w:rsidRPr="00A10143" w:rsidRDefault="005C4CF4" w:rsidP="005C4CF4">
            <w:pPr>
              <w:spacing w:after="0"/>
              <w:jc w:val="center"/>
              <w:rPr>
                <w:b/>
                <w:szCs w:val="20"/>
              </w:rPr>
            </w:pPr>
          </w:p>
        </w:tc>
        <w:tc>
          <w:tcPr>
            <w:tcW w:w="460" w:type="dxa"/>
            <w:vAlign w:val="center"/>
          </w:tcPr>
          <w:p w:rsidR="005C4CF4" w:rsidRPr="00A10143" w:rsidRDefault="005C4CF4" w:rsidP="009B77C1">
            <w:pPr>
              <w:spacing w:after="0"/>
              <w:jc w:val="center"/>
              <w:rPr>
                <w:b/>
                <w:szCs w:val="20"/>
              </w:rPr>
            </w:pPr>
            <w:r w:rsidRPr="00A10143">
              <w:rPr>
                <w:b/>
                <w:szCs w:val="20"/>
              </w:rPr>
              <w:t>A</w:t>
            </w:r>
          </w:p>
        </w:tc>
        <w:tc>
          <w:tcPr>
            <w:tcW w:w="461" w:type="dxa"/>
            <w:vAlign w:val="center"/>
          </w:tcPr>
          <w:p w:rsidR="005C4CF4" w:rsidRPr="00A10143" w:rsidRDefault="005C4CF4" w:rsidP="009B77C1">
            <w:pPr>
              <w:spacing w:after="0"/>
              <w:jc w:val="center"/>
              <w:rPr>
                <w:b/>
                <w:szCs w:val="20"/>
              </w:rPr>
            </w:pPr>
            <w:r w:rsidRPr="00A10143">
              <w:rPr>
                <w:b/>
                <w:szCs w:val="20"/>
              </w:rPr>
              <w:t>B</w:t>
            </w:r>
          </w:p>
        </w:tc>
        <w:tc>
          <w:tcPr>
            <w:tcW w:w="460" w:type="dxa"/>
            <w:vAlign w:val="center"/>
          </w:tcPr>
          <w:p w:rsidR="005C4CF4" w:rsidRPr="00A10143" w:rsidRDefault="005C4CF4" w:rsidP="009B77C1">
            <w:pPr>
              <w:spacing w:after="0"/>
              <w:jc w:val="center"/>
              <w:rPr>
                <w:b/>
                <w:szCs w:val="20"/>
              </w:rPr>
            </w:pPr>
            <w:r w:rsidRPr="00A10143">
              <w:rPr>
                <w:b/>
                <w:szCs w:val="20"/>
              </w:rPr>
              <w:t>C</w:t>
            </w:r>
          </w:p>
        </w:tc>
        <w:tc>
          <w:tcPr>
            <w:tcW w:w="461" w:type="dxa"/>
            <w:vAlign w:val="center"/>
          </w:tcPr>
          <w:p w:rsidR="005C4CF4" w:rsidRPr="00A10143" w:rsidRDefault="005C4CF4" w:rsidP="009B77C1">
            <w:pPr>
              <w:spacing w:after="0"/>
              <w:jc w:val="center"/>
              <w:rPr>
                <w:b/>
                <w:szCs w:val="20"/>
              </w:rPr>
            </w:pPr>
            <w:r w:rsidRPr="00A10143">
              <w:rPr>
                <w:b/>
                <w:szCs w:val="20"/>
              </w:rPr>
              <w:t>D</w:t>
            </w:r>
          </w:p>
        </w:tc>
      </w:tr>
      <w:tr w:rsidR="00FD7B04" w:rsidRPr="00A10143" w:rsidTr="00A01B31">
        <w:tc>
          <w:tcPr>
            <w:tcW w:w="1728" w:type="dxa"/>
            <w:vAlign w:val="center"/>
          </w:tcPr>
          <w:p w:rsidR="00994366" w:rsidRPr="00A10143" w:rsidRDefault="00994366" w:rsidP="009B77C1">
            <w:pPr>
              <w:spacing w:before="120"/>
              <w:jc w:val="left"/>
              <w:rPr>
                <w:b/>
                <w:szCs w:val="20"/>
              </w:rPr>
            </w:pPr>
            <w:r w:rsidRPr="00A10143">
              <w:rPr>
                <w:b/>
                <w:szCs w:val="20"/>
              </w:rPr>
              <w:t>Restituer des connaissances</w:t>
            </w:r>
          </w:p>
        </w:tc>
        <w:tc>
          <w:tcPr>
            <w:tcW w:w="6319" w:type="dxa"/>
          </w:tcPr>
          <w:p w:rsidR="00BC2307" w:rsidRPr="00A10143" w:rsidRDefault="00BC2307" w:rsidP="00BC2307">
            <w:pPr>
              <w:spacing w:before="120"/>
              <w:jc w:val="left"/>
              <w:rPr>
                <w:szCs w:val="20"/>
              </w:rPr>
            </w:pPr>
            <w:r>
              <w:rPr>
                <w:szCs w:val="20"/>
              </w:rPr>
              <w:t xml:space="preserve">La candidat rappelle </w:t>
            </w:r>
            <w:r w:rsidRPr="00BC2307">
              <w:rPr>
                <w:szCs w:val="20"/>
              </w:rPr>
              <w:t>la définition d’un acide selon la théorie de Brönsted.</w:t>
            </w:r>
            <w:r>
              <w:rPr>
                <w:szCs w:val="20"/>
              </w:rPr>
              <w:t xml:space="preserve"> Il identifie les </w:t>
            </w:r>
            <w:r w:rsidRPr="00BC2307">
              <w:rPr>
                <w:szCs w:val="20"/>
              </w:rPr>
              <w:t xml:space="preserve">espèces prédominantes </w:t>
            </w:r>
            <w:r>
              <w:rPr>
                <w:szCs w:val="20"/>
              </w:rPr>
              <w:t xml:space="preserve">en fonction de la valeur du </w:t>
            </w:r>
            <w:r w:rsidRPr="00BC2307">
              <w:rPr>
                <w:i/>
                <w:szCs w:val="20"/>
              </w:rPr>
              <w:t>pH</w:t>
            </w:r>
            <w:r>
              <w:rPr>
                <w:szCs w:val="20"/>
              </w:rPr>
              <w:t xml:space="preserve">, ainsi que l’espèce prédominante dans l’eau minérale considérée. Il choisit – en justifiant son choix – l’indicateur coloré adapté au dosage. </w:t>
            </w:r>
          </w:p>
        </w:tc>
        <w:tc>
          <w:tcPr>
            <w:tcW w:w="460" w:type="dxa"/>
            <w:vAlign w:val="center"/>
          </w:tcPr>
          <w:p w:rsidR="00994366" w:rsidRPr="00A10143" w:rsidRDefault="00994366" w:rsidP="009B77C1">
            <w:pPr>
              <w:spacing w:before="120"/>
              <w:jc w:val="center"/>
              <w:rPr>
                <w:szCs w:val="20"/>
              </w:rPr>
            </w:pPr>
          </w:p>
        </w:tc>
        <w:tc>
          <w:tcPr>
            <w:tcW w:w="461" w:type="dxa"/>
            <w:vAlign w:val="center"/>
          </w:tcPr>
          <w:p w:rsidR="00994366" w:rsidRPr="00A10143" w:rsidRDefault="00994366" w:rsidP="009B77C1">
            <w:pPr>
              <w:spacing w:before="120"/>
              <w:jc w:val="center"/>
              <w:rPr>
                <w:szCs w:val="20"/>
              </w:rPr>
            </w:pPr>
          </w:p>
        </w:tc>
        <w:tc>
          <w:tcPr>
            <w:tcW w:w="460" w:type="dxa"/>
            <w:vAlign w:val="center"/>
          </w:tcPr>
          <w:p w:rsidR="00994366" w:rsidRPr="00A10143" w:rsidRDefault="00994366" w:rsidP="009B77C1">
            <w:pPr>
              <w:spacing w:before="120"/>
              <w:jc w:val="center"/>
              <w:rPr>
                <w:szCs w:val="20"/>
              </w:rPr>
            </w:pPr>
          </w:p>
        </w:tc>
        <w:tc>
          <w:tcPr>
            <w:tcW w:w="461" w:type="dxa"/>
            <w:vAlign w:val="center"/>
          </w:tcPr>
          <w:p w:rsidR="00994366" w:rsidRPr="00A10143" w:rsidRDefault="00994366" w:rsidP="009B77C1">
            <w:pPr>
              <w:spacing w:before="120"/>
              <w:jc w:val="center"/>
              <w:rPr>
                <w:szCs w:val="20"/>
              </w:rPr>
            </w:pPr>
          </w:p>
        </w:tc>
      </w:tr>
      <w:tr w:rsidR="007F1B14" w:rsidRPr="00A10143" w:rsidTr="000F4299">
        <w:tc>
          <w:tcPr>
            <w:tcW w:w="1728" w:type="dxa"/>
            <w:vAlign w:val="center"/>
          </w:tcPr>
          <w:p w:rsidR="007F1B14" w:rsidRPr="00A10143" w:rsidRDefault="007F1B14" w:rsidP="000F4299">
            <w:pPr>
              <w:spacing w:before="120"/>
              <w:jc w:val="left"/>
              <w:rPr>
                <w:b/>
                <w:szCs w:val="20"/>
              </w:rPr>
            </w:pPr>
            <w:r w:rsidRPr="00A10143">
              <w:rPr>
                <w:b/>
                <w:szCs w:val="20"/>
              </w:rPr>
              <w:t>Réaliser</w:t>
            </w:r>
          </w:p>
        </w:tc>
        <w:tc>
          <w:tcPr>
            <w:tcW w:w="6319" w:type="dxa"/>
          </w:tcPr>
          <w:p w:rsidR="007F1B14" w:rsidRPr="00A10143" w:rsidRDefault="007F1B14" w:rsidP="007F1B14">
            <w:pPr>
              <w:jc w:val="left"/>
            </w:pPr>
            <w:r w:rsidRPr="00A10143">
              <w:t>Le candidat écrit correctement l’équation de réaction du dosage.</w:t>
            </w:r>
          </w:p>
          <w:p w:rsidR="007F1B14" w:rsidRDefault="007F1B14" w:rsidP="007F1B14">
            <w:pPr>
              <w:jc w:val="left"/>
              <w:rPr>
                <w:rFonts w:cs="Arial"/>
              </w:rPr>
            </w:pPr>
            <w:r>
              <w:t>Il m</w:t>
            </w:r>
            <w:r w:rsidRPr="007F1B14">
              <w:t xml:space="preserve">anipule l’équation </w:t>
            </w:r>
            <w:r w:rsidRPr="007F1B14">
              <w:rPr>
                <w:rFonts w:cs="Arial"/>
                <w:position w:val="-32"/>
              </w:rPr>
              <w:object w:dxaOrig="1740" w:dyaOrig="680">
                <v:shape id="_x0000_i1036" type="#_x0000_t75" style="width:86.25pt;height:33.95pt" o:ole="">
                  <v:imagedata r:id="rId32" o:title=""/>
                </v:shape>
                <o:OLEObject Type="Embed" ProgID="Equation.DSMT4" ShapeID="_x0000_i1036" DrawAspect="Content" ObjectID="_1520149283" r:id="rId33"/>
              </w:object>
            </w:r>
            <w:r>
              <w:rPr>
                <w:rFonts w:cs="Arial"/>
              </w:rPr>
              <w:t xml:space="preserve"> afin d’extraire (littéralement ou numériquement) </w:t>
            </w:r>
            <w:r w:rsidRPr="007F1B14">
              <w:rPr>
                <w:rFonts w:cs="Arial"/>
                <w:i/>
              </w:rPr>
              <w:t>T</w:t>
            </w:r>
            <w:r>
              <w:rPr>
                <w:rFonts w:cs="Arial"/>
              </w:rPr>
              <w:t xml:space="preserve"> en fonction de </w:t>
            </w:r>
            <w:r w:rsidRPr="007F1B14">
              <w:rPr>
                <w:rFonts w:cs="Arial"/>
                <w:i/>
              </w:rPr>
              <w:t>h</w:t>
            </w:r>
            <w:r>
              <w:rPr>
                <w:rFonts w:cs="Arial"/>
              </w:rPr>
              <w:t xml:space="preserve"> (ou </w:t>
            </w:r>
            <w:r w:rsidRPr="007F1B14">
              <w:rPr>
                <w:rFonts w:cs="Arial"/>
                <w:i/>
              </w:rPr>
              <w:t>h</w:t>
            </w:r>
            <w:r>
              <w:rPr>
                <w:rFonts w:cs="Arial"/>
              </w:rPr>
              <w:t xml:space="preserve"> en fonction de </w:t>
            </w:r>
            <w:r w:rsidRPr="007F1B14">
              <w:rPr>
                <w:rFonts w:cs="Arial"/>
                <w:i/>
              </w:rPr>
              <w:t>T</w:t>
            </w:r>
            <w:r>
              <w:rPr>
                <w:rFonts w:cs="Arial"/>
              </w:rPr>
              <w:t>).</w:t>
            </w:r>
          </w:p>
          <w:p w:rsidR="007F1B14" w:rsidRPr="007F1B14" w:rsidRDefault="007F1B14" w:rsidP="007F1B14">
            <w:pPr>
              <w:jc w:val="left"/>
              <w:rPr>
                <w:rFonts w:cs="Arial"/>
              </w:rPr>
            </w:pPr>
            <w:r>
              <w:rPr>
                <w:rFonts w:cs="Arial"/>
              </w:rPr>
              <w:t xml:space="preserve">Il parvient à calculer la valeur de </w:t>
            </w:r>
            <w:r w:rsidRPr="007F1B14">
              <w:rPr>
                <w:rFonts w:cs="Arial"/>
                <w:i/>
              </w:rPr>
              <w:t>T</w:t>
            </w:r>
            <w:r>
              <w:rPr>
                <w:rFonts w:cs="Arial"/>
              </w:rPr>
              <w:t xml:space="preserve"> (ou celle de </w:t>
            </w:r>
            <w:r w:rsidRPr="007F1B14">
              <w:rPr>
                <w:rFonts w:cs="Arial"/>
                <w:i/>
              </w:rPr>
              <w:t>h</w:t>
            </w:r>
            <w:r>
              <w:rPr>
                <w:rFonts w:cs="Arial"/>
              </w:rPr>
              <w:t xml:space="preserve">, en respectant les unités. </w:t>
            </w:r>
          </w:p>
        </w:tc>
        <w:tc>
          <w:tcPr>
            <w:tcW w:w="460" w:type="dxa"/>
            <w:vAlign w:val="center"/>
          </w:tcPr>
          <w:p w:rsidR="007F1B14" w:rsidRPr="00A10143" w:rsidRDefault="007F1B14" w:rsidP="000F4299">
            <w:pPr>
              <w:spacing w:before="120"/>
              <w:jc w:val="center"/>
              <w:rPr>
                <w:szCs w:val="20"/>
              </w:rPr>
            </w:pPr>
          </w:p>
        </w:tc>
        <w:tc>
          <w:tcPr>
            <w:tcW w:w="461" w:type="dxa"/>
            <w:vAlign w:val="center"/>
          </w:tcPr>
          <w:p w:rsidR="007F1B14" w:rsidRPr="00A10143" w:rsidRDefault="007F1B14" w:rsidP="000F4299">
            <w:pPr>
              <w:spacing w:before="120"/>
              <w:jc w:val="center"/>
              <w:rPr>
                <w:szCs w:val="20"/>
              </w:rPr>
            </w:pPr>
          </w:p>
        </w:tc>
        <w:tc>
          <w:tcPr>
            <w:tcW w:w="460" w:type="dxa"/>
            <w:vAlign w:val="center"/>
          </w:tcPr>
          <w:p w:rsidR="007F1B14" w:rsidRPr="00A10143" w:rsidRDefault="007F1B14" w:rsidP="000F4299">
            <w:pPr>
              <w:spacing w:before="120"/>
              <w:jc w:val="center"/>
              <w:rPr>
                <w:szCs w:val="20"/>
              </w:rPr>
            </w:pPr>
          </w:p>
        </w:tc>
        <w:tc>
          <w:tcPr>
            <w:tcW w:w="461" w:type="dxa"/>
            <w:vAlign w:val="center"/>
          </w:tcPr>
          <w:p w:rsidR="007F1B14" w:rsidRPr="00A10143" w:rsidRDefault="007F1B14" w:rsidP="000F4299">
            <w:pPr>
              <w:spacing w:before="120"/>
              <w:jc w:val="center"/>
              <w:rPr>
                <w:szCs w:val="20"/>
              </w:rPr>
            </w:pPr>
          </w:p>
        </w:tc>
      </w:tr>
      <w:tr w:rsidR="00FD7B04" w:rsidRPr="00A10143" w:rsidTr="00A01B31">
        <w:tc>
          <w:tcPr>
            <w:tcW w:w="1728" w:type="dxa"/>
            <w:vAlign w:val="center"/>
          </w:tcPr>
          <w:p w:rsidR="00994366" w:rsidRPr="00A10143" w:rsidRDefault="000F010B" w:rsidP="00A44A8F">
            <w:pPr>
              <w:spacing w:before="120"/>
              <w:jc w:val="left"/>
              <w:rPr>
                <w:b/>
                <w:szCs w:val="20"/>
              </w:rPr>
            </w:pPr>
            <w:r w:rsidRPr="00A10143">
              <w:rPr>
                <w:b/>
                <w:szCs w:val="20"/>
              </w:rPr>
              <w:t>V</w:t>
            </w:r>
            <w:r w:rsidR="00A44A8F" w:rsidRPr="00A10143">
              <w:rPr>
                <w:b/>
                <w:szCs w:val="20"/>
              </w:rPr>
              <w:t xml:space="preserve">alider </w:t>
            </w:r>
          </w:p>
        </w:tc>
        <w:tc>
          <w:tcPr>
            <w:tcW w:w="6319" w:type="dxa"/>
          </w:tcPr>
          <w:p w:rsidR="00994366" w:rsidRPr="00A10143" w:rsidRDefault="000471F2" w:rsidP="007F1B14">
            <w:pPr>
              <w:jc w:val="left"/>
              <w:rPr>
                <w:rFonts w:cs="Arial"/>
              </w:rPr>
            </w:pPr>
            <w:r w:rsidRPr="00A10143">
              <w:t xml:space="preserve">Le candidat fait correctement le lien entre la valeur qu’il a </w:t>
            </w:r>
            <w:r w:rsidR="007F1B14">
              <w:t xml:space="preserve">obtenue </w:t>
            </w:r>
            <w:r w:rsidRPr="00A10143">
              <w:t>et celle fournie dans l’énoncé</w:t>
            </w:r>
            <w:r w:rsidR="007F1B14">
              <w:t xml:space="preserve"> afin de </w:t>
            </w:r>
            <w:r w:rsidRPr="00A10143">
              <w:t xml:space="preserve">justifier le caractère géostationnaire du satellite. </w:t>
            </w:r>
          </w:p>
        </w:tc>
        <w:tc>
          <w:tcPr>
            <w:tcW w:w="460" w:type="dxa"/>
            <w:vAlign w:val="center"/>
          </w:tcPr>
          <w:p w:rsidR="00994366" w:rsidRPr="00A10143" w:rsidRDefault="00994366" w:rsidP="009B77C1">
            <w:pPr>
              <w:spacing w:before="120"/>
              <w:jc w:val="center"/>
              <w:rPr>
                <w:szCs w:val="20"/>
              </w:rPr>
            </w:pPr>
          </w:p>
        </w:tc>
        <w:tc>
          <w:tcPr>
            <w:tcW w:w="461" w:type="dxa"/>
            <w:vAlign w:val="center"/>
          </w:tcPr>
          <w:p w:rsidR="00994366" w:rsidRPr="00A10143" w:rsidRDefault="00994366" w:rsidP="009B77C1">
            <w:pPr>
              <w:spacing w:before="120"/>
              <w:jc w:val="center"/>
              <w:rPr>
                <w:szCs w:val="20"/>
              </w:rPr>
            </w:pPr>
          </w:p>
        </w:tc>
        <w:tc>
          <w:tcPr>
            <w:tcW w:w="460" w:type="dxa"/>
            <w:vAlign w:val="center"/>
          </w:tcPr>
          <w:p w:rsidR="00994366" w:rsidRPr="00A10143" w:rsidRDefault="00994366" w:rsidP="009B77C1">
            <w:pPr>
              <w:spacing w:before="120"/>
              <w:jc w:val="center"/>
              <w:rPr>
                <w:szCs w:val="20"/>
              </w:rPr>
            </w:pPr>
          </w:p>
        </w:tc>
        <w:tc>
          <w:tcPr>
            <w:tcW w:w="461" w:type="dxa"/>
            <w:vAlign w:val="center"/>
          </w:tcPr>
          <w:p w:rsidR="00994366" w:rsidRPr="00A10143" w:rsidRDefault="00994366" w:rsidP="009B77C1">
            <w:pPr>
              <w:spacing w:before="120"/>
              <w:jc w:val="center"/>
              <w:rPr>
                <w:szCs w:val="20"/>
              </w:rPr>
            </w:pPr>
          </w:p>
        </w:tc>
      </w:tr>
    </w:tbl>
    <w:p w:rsidR="000B16E3" w:rsidRPr="00A10143" w:rsidRDefault="000B16E3" w:rsidP="005C4CF4">
      <w:pPr>
        <w:spacing w:before="120"/>
        <w:rPr>
          <w:szCs w:val="20"/>
        </w:rPr>
      </w:pPr>
    </w:p>
    <w:p w:rsidR="005C4CF4" w:rsidRPr="00A10143" w:rsidRDefault="009B77C1" w:rsidP="005C4CF4">
      <w:pPr>
        <w:spacing w:before="120"/>
        <w:rPr>
          <w:szCs w:val="20"/>
        </w:rPr>
      </w:pPr>
      <w:r w:rsidRPr="00A10143">
        <w:rPr>
          <w:szCs w:val="20"/>
        </w:rPr>
        <w:t>Les compétences (hor</w:t>
      </w:r>
      <w:r w:rsidR="00733430" w:rsidRPr="00A10143">
        <w:rPr>
          <w:szCs w:val="20"/>
        </w:rPr>
        <w:t>mis</w:t>
      </w:r>
      <w:r w:rsidRPr="00A10143">
        <w:rPr>
          <w:szCs w:val="20"/>
        </w:rPr>
        <w:t xml:space="preserve"> communiquer) sont </w:t>
      </w:r>
      <w:r w:rsidR="005C4CF4" w:rsidRPr="00A10143">
        <w:rPr>
          <w:szCs w:val="20"/>
        </w:rPr>
        <w:t>évaluée</w:t>
      </w:r>
      <w:r w:rsidRPr="00A10143">
        <w:rPr>
          <w:szCs w:val="20"/>
        </w:rPr>
        <w:t>s</w:t>
      </w:r>
      <w:r w:rsidR="005C4CF4" w:rsidRPr="00A10143">
        <w:rPr>
          <w:szCs w:val="20"/>
        </w:rPr>
        <w:t xml:space="preserve"> de la façon suivante :</w:t>
      </w:r>
    </w:p>
    <w:p w:rsidR="005C4CF4" w:rsidRPr="00A10143" w:rsidRDefault="005C4CF4" w:rsidP="005C4CF4">
      <w:pPr>
        <w:pStyle w:val="Paragraphedeliste"/>
        <w:numPr>
          <w:ilvl w:val="0"/>
          <w:numId w:val="5"/>
        </w:numPr>
        <w:rPr>
          <w:szCs w:val="20"/>
        </w:rPr>
      </w:pPr>
      <w:r w:rsidRPr="00A10143">
        <w:rPr>
          <w:szCs w:val="20"/>
        </w:rPr>
        <w:t>A si le candidat a su répondre correctement aux attentes correspondant à la compétence évaluée, ou à la suite de quelque</w:t>
      </w:r>
      <w:r w:rsidR="00733430" w:rsidRPr="00A10143">
        <w:rPr>
          <w:szCs w:val="20"/>
        </w:rPr>
        <w:t>s questionnements du professeur ;</w:t>
      </w:r>
    </w:p>
    <w:p w:rsidR="00733430" w:rsidRPr="00A10143" w:rsidRDefault="005C4CF4" w:rsidP="005C4CF4">
      <w:pPr>
        <w:pStyle w:val="Paragraphedeliste"/>
        <w:numPr>
          <w:ilvl w:val="0"/>
          <w:numId w:val="5"/>
        </w:numPr>
        <w:rPr>
          <w:szCs w:val="20"/>
        </w:rPr>
      </w:pPr>
      <w:r w:rsidRPr="00A10143">
        <w:rPr>
          <w:szCs w:val="20"/>
        </w:rPr>
        <w:t>B si le candidat a répondu de manière globalement satisfaisante aux attentes correspondant à la compétence évaluée, suite aux questionnements du professeur et à quelques éléments d’aide</w:t>
      </w:r>
      <w:r w:rsidR="00733430" w:rsidRPr="00A10143">
        <w:rPr>
          <w:szCs w:val="20"/>
        </w:rPr>
        <w:t> ;</w:t>
      </w:r>
    </w:p>
    <w:p w:rsidR="005C4CF4" w:rsidRPr="00A10143" w:rsidRDefault="005C4CF4" w:rsidP="005C4CF4">
      <w:pPr>
        <w:pStyle w:val="Paragraphedeliste"/>
        <w:numPr>
          <w:ilvl w:val="0"/>
          <w:numId w:val="5"/>
        </w:numPr>
        <w:rPr>
          <w:szCs w:val="20"/>
        </w:rPr>
      </w:pPr>
      <w:r w:rsidRPr="00A10143">
        <w:rPr>
          <w:szCs w:val="20"/>
        </w:rPr>
        <w:t>C si la réponse du candidat est restée partielle, malgré les questionnements de l’examinateur et l’apport de solutions partielles</w:t>
      </w:r>
      <w:r w:rsidR="00733430" w:rsidRPr="00A10143">
        <w:rPr>
          <w:szCs w:val="20"/>
        </w:rPr>
        <w:t> ;</w:t>
      </w:r>
    </w:p>
    <w:p w:rsidR="005C4CF4" w:rsidRPr="00A10143" w:rsidRDefault="005C4CF4" w:rsidP="005C4CF4">
      <w:pPr>
        <w:pStyle w:val="Paragraphedeliste"/>
        <w:numPr>
          <w:ilvl w:val="0"/>
          <w:numId w:val="5"/>
        </w:numPr>
        <w:rPr>
          <w:szCs w:val="20"/>
        </w:rPr>
      </w:pPr>
      <w:r w:rsidRPr="00A10143">
        <w:rPr>
          <w:szCs w:val="20"/>
        </w:rPr>
        <w:t>D si le candidat n’a pas su répondre malgré les questionnements de l’examinateur et l’apport de solutions partielles.</w:t>
      </w:r>
    </w:p>
    <w:p w:rsidR="003C06C2" w:rsidRPr="00A10143" w:rsidRDefault="00453F26" w:rsidP="003C06C2">
      <w:r w:rsidRPr="00A10143">
        <w:br w:type="page"/>
      </w:r>
    </w:p>
    <w:p w:rsidR="00663F0E" w:rsidRPr="003C06C2" w:rsidRDefault="00663F0E" w:rsidP="00663F0E">
      <w:pPr>
        <w:pStyle w:val="Titresoulign"/>
      </w:pPr>
      <w:r w:rsidRPr="003C06C2">
        <w:lastRenderedPageBreak/>
        <w:t>Grille de notation</w:t>
      </w:r>
    </w:p>
    <w:p w:rsidR="00663F0E" w:rsidRPr="006A2753" w:rsidRDefault="00663F0E" w:rsidP="00663F0E">
      <w:r w:rsidRPr="006A2753">
        <w:t xml:space="preserve">La grille d’évaluation ci-après est fournie à titre indicatif. Elle permet d’obtenir une note </w:t>
      </w:r>
      <w:r w:rsidRPr="006A2753">
        <w:rPr>
          <w:b/>
          <w:u w:val="single"/>
        </w:rPr>
        <w:t>sur 17 points</w:t>
      </w:r>
      <w:r w:rsidRPr="006A2753">
        <w:t xml:space="preserve"> en fonction du niveau attribué à la </w:t>
      </w:r>
      <w:r w:rsidRPr="006A2753">
        <w:rPr>
          <w:i/>
        </w:rPr>
        <w:t>restitution de connaissances</w:t>
      </w:r>
      <w:r w:rsidRPr="006A2753">
        <w:t xml:space="preserve"> du candidat et à une ou deux compétences parmi </w:t>
      </w:r>
      <w:r w:rsidRPr="006A2753">
        <w:rPr>
          <w:i/>
        </w:rPr>
        <w:t>s’approprier</w:t>
      </w:r>
      <w:r w:rsidRPr="006A2753">
        <w:t xml:space="preserve">, </w:t>
      </w:r>
      <w:r w:rsidRPr="006A2753">
        <w:rPr>
          <w:i/>
        </w:rPr>
        <w:t>analyser</w:t>
      </w:r>
      <w:r w:rsidRPr="006A2753">
        <w:t xml:space="preserve">, </w:t>
      </w:r>
      <w:r w:rsidRPr="006A2753">
        <w:rPr>
          <w:i/>
        </w:rPr>
        <w:t>réaliser</w:t>
      </w:r>
      <w:r w:rsidRPr="006A2753">
        <w:t xml:space="preserve"> et </w:t>
      </w:r>
      <w:r w:rsidRPr="006A2753">
        <w:rPr>
          <w:i/>
        </w:rPr>
        <w:t>valider</w:t>
      </w:r>
      <w:r w:rsidRPr="006A2753">
        <w:t>.</w:t>
      </w:r>
    </w:p>
    <w:p w:rsidR="00663F0E" w:rsidRPr="006A2753" w:rsidRDefault="00663F0E" w:rsidP="00663F0E">
      <w:r w:rsidRPr="006A2753">
        <w:t xml:space="preserve">La compétence </w:t>
      </w:r>
      <w:r w:rsidRPr="006A2753">
        <w:rPr>
          <w:i/>
        </w:rPr>
        <w:t>communiquer</w:t>
      </w:r>
      <w:r w:rsidRPr="006A2753">
        <w:t xml:space="preserve"> est évaluée </w:t>
      </w:r>
      <w:r w:rsidRPr="006A2753">
        <w:rPr>
          <w:b/>
          <w:u w:val="single"/>
        </w:rPr>
        <w:t>sur trois points</w:t>
      </w:r>
      <w:r w:rsidRPr="006A2753">
        <w:t xml:space="preserve"> qui seront ajoutés à la note sur 17. Les critères d’évaluation retenus sont :</w:t>
      </w:r>
    </w:p>
    <w:p w:rsidR="00663F0E" w:rsidRPr="006A2753" w:rsidRDefault="00663F0E" w:rsidP="00663F0E">
      <w:pPr>
        <w:pStyle w:val="Paragraphedeliste"/>
        <w:numPr>
          <w:ilvl w:val="0"/>
          <w:numId w:val="5"/>
        </w:numPr>
      </w:pPr>
      <w:r w:rsidRPr="006A2753">
        <w:t>La capacité du candidat à s’exprimer en utilisant une syntaxe claire</w:t>
      </w:r>
    </w:p>
    <w:p w:rsidR="00663F0E" w:rsidRPr="006A2753" w:rsidRDefault="00663F0E" w:rsidP="00663F0E">
      <w:pPr>
        <w:pStyle w:val="Paragraphedeliste"/>
        <w:numPr>
          <w:ilvl w:val="0"/>
          <w:numId w:val="5"/>
        </w:numPr>
      </w:pPr>
      <w:r w:rsidRPr="006A2753">
        <w:t>La capacité du candidat à employer un vocabulaire scientifique adapté</w:t>
      </w:r>
    </w:p>
    <w:p w:rsidR="00663F0E" w:rsidRPr="006A2753" w:rsidRDefault="00663F0E" w:rsidP="00663F0E">
      <w:pPr>
        <w:pStyle w:val="Paragraphedeliste"/>
        <w:numPr>
          <w:ilvl w:val="0"/>
          <w:numId w:val="5"/>
        </w:numPr>
      </w:pPr>
      <w:r w:rsidRPr="006A2753">
        <w:t>La capacité du candidat à organiser son raisonnement et à présenter ses arguments.</w:t>
      </w:r>
    </w:p>
    <w:p w:rsidR="00663F0E" w:rsidRDefault="00663F0E" w:rsidP="00663F0E">
      <w:pPr>
        <w:rPr>
          <w:szCs w:val="20"/>
        </w:rPr>
      </w:pPr>
    </w:p>
    <w:p w:rsidR="00663F0E" w:rsidRPr="009F453D" w:rsidRDefault="00663F0E" w:rsidP="00663F0E">
      <w:pPr>
        <w:jc w:val="left"/>
        <w:rPr>
          <w:szCs w:val="20"/>
          <w:highlight w:val="yellow"/>
        </w:rPr>
      </w:pPr>
      <w:r w:rsidRPr="009F453D">
        <w:rPr>
          <w:noProof/>
          <w:highlight w:val="yellow"/>
        </w:rPr>
        <w:drawing>
          <wp:anchor distT="0" distB="0" distL="114300" distR="114300" simplePos="0" relativeHeight="251660288" behindDoc="1" locked="0" layoutInCell="1" allowOverlap="1" wp14:anchorId="2713E2AD" wp14:editId="40EBCE41">
            <wp:simplePos x="0" y="0"/>
            <wp:positionH relativeFrom="column">
              <wp:posOffset>3944620</wp:posOffset>
            </wp:positionH>
            <wp:positionV relativeFrom="paragraph">
              <wp:posOffset>52705</wp:posOffset>
            </wp:positionV>
            <wp:extent cx="2665095" cy="1198880"/>
            <wp:effectExtent l="0" t="0" r="1905" b="1270"/>
            <wp:wrapTight wrapText="bothSides">
              <wp:wrapPolygon edited="0">
                <wp:start x="0" y="0"/>
                <wp:lineTo x="0" y="21280"/>
                <wp:lineTo x="21461" y="21280"/>
                <wp:lineTo x="2146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extLst>
                        <a:ext uri="{28A0092B-C50C-407E-A947-70E740481C1C}">
                          <a14:useLocalDpi xmlns:a14="http://schemas.microsoft.com/office/drawing/2010/main" val="0"/>
                        </a:ext>
                      </a:extLst>
                    </a:blip>
                    <a:srcRect l="1805" t="794" r="11552" b="13424"/>
                    <a:stretch/>
                  </pic:blipFill>
                  <pic:spPr bwMode="auto">
                    <a:xfrm>
                      <a:off x="0" y="0"/>
                      <a:ext cx="2665095" cy="119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453D">
        <w:rPr>
          <w:szCs w:val="20"/>
          <w:highlight w:val="yellow"/>
        </w:rPr>
        <w:t xml:space="preserve">Pour modifier le contenu du tableau : </w:t>
      </w:r>
    </w:p>
    <w:p w:rsidR="00663F0E" w:rsidRPr="009F453D" w:rsidRDefault="00663F0E" w:rsidP="00663F0E">
      <w:pPr>
        <w:ind w:left="284" w:hanging="284"/>
        <w:jc w:val="left"/>
        <w:rPr>
          <w:szCs w:val="20"/>
          <w:highlight w:val="yellow"/>
        </w:rPr>
      </w:pPr>
      <w:r w:rsidRPr="009F453D">
        <w:rPr>
          <w:szCs w:val="20"/>
          <w:highlight w:val="yellow"/>
        </w:rPr>
        <w:t>-</w:t>
      </w:r>
      <w:r w:rsidRPr="009F453D">
        <w:rPr>
          <w:szCs w:val="20"/>
          <w:highlight w:val="yellow"/>
        </w:rPr>
        <w:tab/>
        <w:t>double-cliquer sur celui-ci afin de l’éditer</w:t>
      </w:r>
      <w:r>
        <w:rPr>
          <w:szCs w:val="20"/>
          <w:highlight w:val="yellow"/>
        </w:rPr>
        <w:t> ;</w:t>
      </w:r>
    </w:p>
    <w:p w:rsidR="00663F0E" w:rsidRDefault="00663F0E" w:rsidP="00663F0E">
      <w:pPr>
        <w:ind w:left="284" w:hanging="284"/>
        <w:jc w:val="left"/>
        <w:rPr>
          <w:szCs w:val="20"/>
          <w:highlight w:val="yellow"/>
        </w:rPr>
      </w:pPr>
      <w:r w:rsidRPr="009F453D">
        <w:rPr>
          <w:szCs w:val="20"/>
          <w:highlight w:val="yellow"/>
        </w:rPr>
        <w:t>-</w:t>
      </w:r>
      <w:r w:rsidRPr="009F453D">
        <w:rPr>
          <w:szCs w:val="20"/>
          <w:highlight w:val="yellow"/>
        </w:rPr>
        <w:tab/>
        <w:t>ajuster les compétences et leurs coefficients (voir illustration ci-contre)</w:t>
      </w:r>
      <w:r>
        <w:rPr>
          <w:szCs w:val="20"/>
          <w:highlight w:val="yellow"/>
        </w:rPr>
        <w:t xml:space="preserve"> ; </w:t>
      </w:r>
    </w:p>
    <w:p w:rsidR="00663F0E" w:rsidRPr="009F453D" w:rsidRDefault="00663F0E" w:rsidP="00663F0E">
      <w:pPr>
        <w:ind w:left="284" w:hanging="284"/>
        <w:jc w:val="left"/>
        <w:rPr>
          <w:szCs w:val="20"/>
          <w:highlight w:val="yellow"/>
        </w:rPr>
      </w:pPr>
      <w:r>
        <w:rPr>
          <w:szCs w:val="20"/>
          <w:highlight w:val="yellow"/>
        </w:rPr>
        <w:t>-</w:t>
      </w:r>
      <w:r>
        <w:rPr>
          <w:szCs w:val="20"/>
          <w:highlight w:val="yellow"/>
        </w:rPr>
        <w:tab/>
        <w:t>cliquer en dehors du tableau pour terminer son édition.</w:t>
      </w:r>
    </w:p>
    <w:p w:rsidR="00663F0E" w:rsidRDefault="00663F0E" w:rsidP="00663F0E">
      <w:pPr>
        <w:jc w:val="left"/>
        <w:rPr>
          <w:szCs w:val="20"/>
        </w:rPr>
      </w:pPr>
      <w:r w:rsidRPr="009F453D">
        <w:rPr>
          <w:szCs w:val="20"/>
          <w:highlight w:val="yellow"/>
        </w:rPr>
        <w:t>Le tableau sera mis à jour automatiquement.</w:t>
      </w:r>
      <w:r>
        <w:rPr>
          <w:szCs w:val="20"/>
        </w:rPr>
        <w:t xml:space="preserve"> </w:t>
      </w:r>
    </w:p>
    <w:p w:rsidR="00663F0E" w:rsidRDefault="00663F0E" w:rsidP="00663F0E">
      <w:pPr>
        <w:rPr>
          <w:szCs w:val="20"/>
        </w:rPr>
      </w:pPr>
    </w:p>
    <w:p w:rsidR="00663F0E" w:rsidRDefault="00663F0E" w:rsidP="00663F0E">
      <w:pPr>
        <w:rPr>
          <w:szCs w:val="20"/>
        </w:rPr>
      </w:pPr>
    </w:p>
    <w:p w:rsidR="00241B20" w:rsidRDefault="00F81B14" w:rsidP="00241B20">
      <w:pPr>
        <w:rPr>
          <w:szCs w:val="20"/>
        </w:rPr>
      </w:pPr>
      <w:r w:rsidRPr="006A2753">
        <w:rPr>
          <w:szCs w:val="20"/>
        </w:rPr>
        <w:object w:dxaOrig="12136" w:dyaOrig="8440">
          <v:shape id="_x0000_i1037" type="#_x0000_t75" style="width:471.4pt;height:328.75pt" o:ole="">
            <v:imagedata r:id="rId35" o:title=""/>
          </v:shape>
          <o:OLEObject Type="Embed" ProgID="Excel.Sheet.12" ShapeID="_x0000_i1037" DrawAspect="Content" ObjectID="_1520149284" r:id="rId36"/>
        </w:object>
      </w:r>
    </w:p>
    <w:p w:rsidR="00241B20" w:rsidRDefault="00241B20" w:rsidP="00241B20">
      <w:pPr>
        <w:rPr>
          <w:szCs w:val="20"/>
        </w:rPr>
      </w:pPr>
    </w:p>
    <w:p w:rsidR="00241B20" w:rsidRPr="007C49FF" w:rsidRDefault="00241B20" w:rsidP="00241B20">
      <w:pPr>
        <w:rPr>
          <w:b/>
          <w:szCs w:val="20"/>
        </w:rPr>
      </w:pPr>
      <w:r w:rsidRPr="007C49FF">
        <w:rPr>
          <w:b/>
          <w:szCs w:val="20"/>
        </w:rPr>
        <w:t xml:space="preserve">Compétence </w:t>
      </w:r>
      <w:r w:rsidRPr="007C49FF">
        <w:rPr>
          <w:b/>
          <w:i/>
          <w:szCs w:val="20"/>
        </w:rPr>
        <w:t xml:space="preserve">communiquer </w:t>
      </w:r>
      <w:r w:rsidRPr="007C49FF">
        <w:rPr>
          <w:b/>
          <w:szCs w:val="20"/>
        </w:rPr>
        <w:t>:  _</w:t>
      </w:r>
      <w:r>
        <w:rPr>
          <w:b/>
          <w:szCs w:val="20"/>
        </w:rPr>
        <w:t>_</w:t>
      </w:r>
      <w:r w:rsidRPr="007C49FF">
        <w:rPr>
          <w:b/>
          <w:szCs w:val="20"/>
        </w:rPr>
        <w:t>__ / 3</w:t>
      </w:r>
    </w:p>
    <w:p w:rsidR="00241B20" w:rsidRDefault="00241B20" w:rsidP="00241B20">
      <w:pPr>
        <w:rPr>
          <w:szCs w:val="20"/>
        </w:rPr>
      </w:pPr>
    </w:p>
    <w:p w:rsidR="00241B20" w:rsidRPr="007C49FF" w:rsidRDefault="00241B20" w:rsidP="00241B20">
      <w:pPr>
        <w:rPr>
          <w:b/>
          <w:sz w:val="24"/>
          <w:szCs w:val="20"/>
        </w:rPr>
      </w:pPr>
      <w:r w:rsidRPr="007C49FF">
        <w:rPr>
          <w:b/>
          <w:sz w:val="24"/>
          <w:szCs w:val="20"/>
        </w:rPr>
        <w:t>Note obtenue</w:t>
      </w:r>
      <w:r>
        <w:rPr>
          <w:b/>
          <w:sz w:val="24"/>
          <w:szCs w:val="20"/>
        </w:rPr>
        <w:t xml:space="preserve"> sur 20</w:t>
      </w:r>
      <w:r w:rsidRPr="007C49FF">
        <w:rPr>
          <w:b/>
          <w:sz w:val="24"/>
          <w:szCs w:val="20"/>
        </w:rPr>
        <w:t xml:space="preserve"> : </w:t>
      </w:r>
      <w:r>
        <w:rPr>
          <w:b/>
          <w:sz w:val="24"/>
          <w:szCs w:val="20"/>
        </w:rPr>
        <w:t>__</w:t>
      </w:r>
      <w:r w:rsidRPr="007C49FF">
        <w:rPr>
          <w:b/>
          <w:sz w:val="24"/>
          <w:szCs w:val="20"/>
        </w:rPr>
        <w:t>__ / 20</w:t>
      </w:r>
    </w:p>
    <w:p w:rsidR="00241B20" w:rsidRDefault="00241B20" w:rsidP="00241B20">
      <w:pPr>
        <w:rPr>
          <w:szCs w:val="20"/>
        </w:rPr>
      </w:pPr>
    </w:p>
    <w:p w:rsidR="009B77C1" w:rsidRPr="00A10143" w:rsidRDefault="009B77C1" w:rsidP="003C191D">
      <w:pPr>
        <w:rPr>
          <w:szCs w:val="20"/>
        </w:rPr>
      </w:pPr>
    </w:p>
    <w:sectPr w:rsidR="009B77C1" w:rsidRPr="00A10143" w:rsidSect="00645494">
      <w:headerReference w:type="default" r:id="rId37"/>
      <w:footerReference w:type="default" r:id="rId38"/>
      <w:pgSz w:w="11900" w:h="16840"/>
      <w:pgMar w:top="130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55" w:rsidRDefault="00B94E55">
      <w:r>
        <w:separator/>
      </w:r>
    </w:p>
  </w:endnote>
  <w:endnote w:type="continuationSeparator" w:id="0">
    <w:p w:rsidR="00B94E55" w:rsidRDefault="00B9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5500"/>
      <w:docPartObj>
        <w:docPartGallery w:val="Page Numbers (Bottom of Page)"/>
        <w:docPartUnique/>
      </w:docPartObj>
    </w:sdtPr>
    <w:sdtEndPr/>
    <w:sdtContent>
      <w:sdt>
        <w:sdtPr>
          <w:id w:val="-1662391933"/>
          <w:docPartObj>
            <w:docPartGallery w:val="Page Numbers (Top of Page)"/>
            <w:docPartUnique/>
          </w:docPartObj>
        </w:sdtPr>
        <w:sdtEndPr/>
        <w:sdtContent>
          <w:p w:rsidR="00DF44D5" w:rsidRDefault="00DF44D5" w:rsidP="00050459">
            <w:pPr>
              <w:pStyle w:val="Pieddepage"/>
              <w:spacing w:after="0"/>
              <w:jc w:val="left"/>
            </w:pPr>
            <w:r>
              <w:t>Sujet n°</w:t>
            </w:r>
            <w:r w:rsidR="00410546">
              <w:t>6</w:t>
            </w:r>
            <w:r>
              <w:tab/>
            </w:r>
            <w:r>
              <w:tab/>
              <w:t xml:space="preserve">Page </w:t>
            </w:r>
            <w:r>
              <w:rPr>
                <w:b/>
                <w:bCs/>
                <w:sz w:val="24"/>
                <w:szCs w:val="24"/>
              </w:rPr>
              <w:fldChar w:fldCharType="begin"/>
            </w:r>
            <w:r>
              <w:rPr>
                <w:b/>
                <w:bCs/>
              </w:rPr>
              <w:instrText>PAGE</w:instrText>
            </w:r>
            <w:r>
              <w:rPr>
                <w:b/>
                <w:bCs/>
                <w:sz w:val="24"/>
                <w:szCs w:val="24"/>
              </w:rPr>
              <w:fldChar w:fldCharType="separate"/>
            </w:r>
            <w:r w:rsidR="002859B4">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859B4">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55" w:rsidRDefault="00B94E55">
      <w:r>
        <w:separator/>
      </w:r>
    </w:p>
  </w:footnote>
  <w:footnote w:type="continuationSeparator" w:id="0">
    <w:p w:rsidR="00B94E55" w:rsidRDefault="00B94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D5" w:rsidRPr="00050459" w:rsidRDefault="00681635" w:rsidP="00050459">
    <w:pPr>
      <w:rPr>
        <w:b/>
        <w:color w:val="A6A6A6" w:themeColor="background1" w:themeShade="A6"/>
      </w:rPr>
    </w:pPr>
    <w:r w:rsidRPr="00681635">
      <w:rPr>
        <w:b/>
        <w:color w:val="A6A6A6" w:themeColor="background1" w:themeShade="A6"/>
      </w:rPr>
      <w:t xml:space="preserve"> </w:t>
    </w:r>
    <w:r w:rsidRPr="00050459">
      <w:rPr>
        <w:b/>
        <w:color w:val="A6A6A6" w:themeColor="background1" w:themeShade="A6"/>
      </w:rPr>
      <w:t>BAC</w:t>
    </w:r>
    <w:r>
      <w:rPr>
        <w:b/>
        <w:color w:val="A6A6A6" w:themeColor="background1" w:themeShade="A6"/>
      </w:rPr>
      <w:t xml:space="preserve"> S </w:t>
    </w:r>
    <w:r>
      <w:rPr>
        <w:b/>
        <w:noProof/>
        <w:color w:val="A6A6A6" w:themeColor="background1" w:themeShade="A6"/>
      </w:rPr>
      <w:t>–</w:t>
    </w:r>
    <w:r w:rsidRPr="00050459">
      <w:rPr>
        <w:b/>
        <w:noProof/>
        <w:color w:val="A6A6A6" w:themeColor="background1" w:themeShade="A6"/>
      </w:rPr>
      <w:t xml:space="preserve"> </w:t>
    </w:r>
    <w:r>
      <w:rPr>
        <w:b/>
        <w:noProof/>
        <w:color w:val="A6A6A6" w:themeColor="background1" w:themeShade="A6"/>
      </w:rPr>
      <w:t>EXEMPLE D’</w:t>
    </w:r>
    <w:r w:rsidRPr="00050459">
      <w:rPr>
        <w:b/>
        <w:color w:val="A6A6A6" w:themeColor="background1" w:themeShade="A6"/>
      </w:rPr>
      <w:t>ÉPREUVE ORALE</w:t>
    </w:r>
    <w:r>
      <w:rPr>
        <w:b/>
        <w:color w:val="A6A6A6" w:themeColor="background1" w:themeShade="A6"/>
      </w:rPr>
      <w:t xml:space="preserve"> </w:t>
    </w:r>
    <w:r w:rsidR="00DF44D5">
      <w:rPr>
        <w:b/>
        <w:color w:val="A6A6A6" w:themeColor="background1" w:themeShade="A6"/>
      </w:rPr>
      <w:t>DE CONTRÔLE</w:t>
    </w:r>
    <w:r w:rsidR="00DF44D5" w:rsidRPr="00050459">
      <w:rPr>
        <w:b/>
        <w:color w:val="A6A6A6" w:themeColor="background1" w:themeShade="A6"/>
      </w:rPr>
      <w:t xml:space="preserve"> DE PHYSIQUE-CHIMIE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984"/>
    <w:multiLevelType w:val="hybridMultilevel"/>
    <w:tmpl w:val="E1EA4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E22269"/>
    <w:multiLevelType w:val="hybridMultilevel"/>
    <w:tmpl w:val="A4AC0BF0"/>
    <w:lvl w:ilvl="0" w:tplc="23DAA36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F460E"/>
    <w:multiLevelType w:val="hybridMultilevel"/>
    <w:tmpl w:val="8B1C45B2"/>
    <w:lvl w:ilvl="0" w:tplc="C080A3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D42EBC"/>
    <w:multiLevelType w:val="hybridMultilevel"/>
    <w:tmpl w:val="FE522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9053B5"/>
    <w:multiLevelType w:val="hybridMultilevel"/>
    <w:tmpl w:val="38BAB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5162E6"/>
    <w:multiLevelType w:val="hybridMultilevel"/>
    <w:tmpl w:val="1A3E08A8"/>
    <w:lvl w:ilvl="0" w:tplc="60F4FFD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2C3AC8"/>
    <w:multiLevelType w:val="hybridMultilevel"/>
    <w:tmpl w:val="29EE0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0E5AE4"/>
    <w:multiLevelType w:val="hybridMultilevel"/>
    <w:tmpl w:val="5BD8C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AF15BE"/>
    <w:multiLevelType w:val="hybridMultilevel"/>
    <w:tmpl w:val="AFE0A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F62846"/>
    <w:multiLevelType w:val="hybridMultilevel"/>
    <w:tmpl w:val="C6867848"/>
    <w:lvl w:ilvl="0" w:tplc="62ACB7C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110284"/>
    <w:multiLevelType w:val="hybridMultilevel"/>
    <w:tmpl w:val="27E25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596FDC"/>
    <w:multiLevelType w:val="hybridMultilevel"/>
    <w:tmpl w:val="5338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D04CFB"/>
    <w:multiLevelType w:val="hybridMultilevel"/>
    <w:tmpl w:val="7122A1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69675AAD"/>
    <w:multiLevelType w:val="hybridMultilevel"/>
    <w:tmpl w:val="F3D24B98"/>
    <w:lvl w:ilvl="0" w:tplc="040C000F">
      <w:start w:val="1"/>
      <w:numFmt w:val="decimal"/>
      <w:lvlText w:val="%1."/>
      <w:lvlJc w:val="left"/>
      <w:pPr>
        <w:ind w:left="360"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nsid w:val="6D8144E2"/>
    <w:multiLevelType w:val="hybridMultilevel"/>
    <w:tmpl w:val="C290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F3157B"/>
    <w:multiLevelType w:val="hybridMultilevel"/>
    <w:tmpl w:val="5F0A9BF6"/>
    <w:lvl w:ilvl="0" w:tplc="B68A4174">
      <w:start w:val="1"/>
      <w:numFmt w:val="decimal"/>
      <w:lvlText w:val="%1."/>
      <w:lvlJc w:val="lef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16">
    <w:nsid w:val="791D2F9D"/>
    <w:multiLevelType w:val="hybridMultilevel"/>
    <w:tmpl w:val="A7A4CB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ABE28D0"/>
    <w:multiLevelType w:val="hybridMultilevel"/>
    <w:tmpl w:val="72B0540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13"/>
  </w:num>
  <w:num w:numId="5">
    <w:abstractNumId w:val="9"/>
  </w:num>
  <w:num w:numId="6">
    <w:abstractNumId w:val="17"/>
  </w:num>
  <w:num w:numId="7">
    <w:abstractNumId w:val="15"/>
  </w:num>
  <w:num w:numId="8">
    <w:abstractNumId w:val="10"/>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0"/>
  </w:num>
  <w:num w:numId="15">
    <w:abstractNumId w:val="2"/>
  </w:num>
  <w:num w:numId="16">
    <w:abstractNumId w:val="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70"/>
    <w:rsid w:val="00000AAC"/>
    <w:rsid w:val="00006D0F"/>
    <w:rsid w:val="0002351D"/>
    <w:rsid w:val="000264FC"/>
    <w:rsid w:val="00027E5A"/>
    <w:rsid w:val="00030B17"/>
    <w:rsid w:val="0003151B"/>
    <w:rsid w:val="000370A2"/>
    <w:rsid w:val="000471F2"/>
    <w:rsid w:val="00050459"/>
    <w:rsid w:val="00050CCF"/>
    <w:rsid w:val="000515AD"/>
    <w:rsid w:val="00064810"/>
    <w:rsid w:val="00067346"/>
    <w:rsid w:val="00082822"/>
    <w:rsid w:val="00090C74"/>
    <w:rsid w:val="00092DF8"/>
    <w:rsid w:val="00097D1A"/>
    <w:rsid w:val="000A198B"/>
    <w:rsid w:val="000A44CA"/>
    <w:rsid w:val="000B16E3"/>
    <w:rsid w:val="000B27D9"/>
    <w:rsid w:val="000C2C10"/>
    <w:rsid w:val="000C76F2"/>
    <w:rsid w:val="000D0030"/>
    <w:rsid w:val="000D0DFE"/>
    <w:rsid w:val="000D37F5"/>
    <w:rsid w:val="000D5083"/>
    <w:rsid w:val="000E2F2E"/>
    <w:rsid w:val="000E3F61"/>
    <w:rsid w:val="000F010B"/>
    <w:rsid w:val="000F2917"/>
    <w:rsid w:val="00101F2B"/>
    <w:rsid w:val="00102507"/>
    <w:rsid w:val="00107CF9"/>
    <w:rsid w:val="00110A50"/>
    <w:rsid w:val="00113647"/>
    <w:rsid w:val="00114D75"/>
    <w:rsid w:val="00117F0A"/>
    <w:rsid w:val="001279D4"/>
    <w:rsid w:val="00130E5F"/>
    <w:rsid w:val="001360B7"/>
    <w:rsid w:val="00142F8F"/>
    <w:rsid w:val="0014753C"/>
    <w:rsid w:val="00150C95"/>
    <w:rsid w:val="001517EF"/>
    <w:rsid w:val="00156B0F"/>
    <w:rsid w:val="00160F46"/>
    <w:rsid w:val="00163E6E"/>
    <w:rsid w:val="00164C79"/>
    <w:rsid w:val="00164D4C"/>
    <w:rsid w:val="00166B68"/>
    <w:rsid w:val="00166D51"/>
    <w:rsid w:val="00167A3B"/>
    <w:rsid w:val="00183E34"/>
    <w:rsid w:val="001B052E"/>
    <w:rsid w:val="001B5003"/>
    <w:rsid w:val="001D38BB"/>
    <w:rsid w:val="001E2F0A"/>
    <w:rsid w:val="001E5673"/>
    <w:rsid w:val="001E6CC7"/>
    <w:rsid w:val="001F38A3"/>
    <w:rsid w:val="001F611B"/>
    <w:rsid w:val="00221521"/>
    <w:rsid w:val="00221C9D"/>
    <w:rsid w:val="00231A1C"/>
    <w:rsid w:val="002332BC"/>
    <w:rsid w:val="00235340"/>
    <w:rsid w:val="0024102A"/>
    <w:rsid w:val="00241B20"/>
    <w:rsid w:val="002428DD"/>
    <w:rsid w:val="002507D8"/>
    <w:rsid w:val="00250838"/>
    <w:rsid w:val="002569E1"/>
    <w:rsid w:val="00283999"/>
    <w:rsid w:val="002859B4"/>
    <w:rsid w:val="002A0E0E"/>
    <w:rsid w:val="002A4F48"/>
    <w:rsid w:val="002A6729"/>
    <w:rsid w:val="002B6F71"/>
    <w:rsid w:val="002C0A70"/>
    <w:rsid w:val="002D2BC2"/>
    <w:rsid w:val="002E0AB1"/>
    <w:rsid w:val="002E2D8F"/>
    <w:rsid w:val="002F23D1"/>
    <w:rsid w:val="00301CE6"/>
    <w:rsid w:val="00311579"/>
    <w:rsid w:val="00312F6B"/>
    <w:rsid w:val="00321012"/>
    <w:rsid w:val="00331249"/>
    <w:rsid w:val="003315D5"/>
    <w:rsid w:val="00332E29"/>
    <w:rsid w:val="003337DD"/>
    <w:rsid w:val="003357DF"/>
    <w:rsid w:val="00343549"/>
    <w:rsid w:val="003475F5"/>
    <w:rsid w:val="003501A2"/>
    <w:rsid w:val="00357D52"/>
    <w:rsid w:val="00366E09"/>
    <w:rsid w:val="00370B02"/>
    <w:rsid w:val="00387E17"/>
    <w:rsid w:val="003A0F5F"/>
    <w:rsid w:val="003A4E3B"/>
    <w:rsid w:val="003B44B5"/>
    <w:rsid w:val="003B65EA"/>
    <w:rsid w:val="003C06C2"/>
    <w:rsid w:val="003C191D"/>
    <w:rsid w:val="003C7B62"/>
    <w:rsid w:val="003D6BD4"/>
    <w:rsid w:val="003E0817"/>
    <w:rsid w:val="003E7DFA"/>
    <w:rsid w:val="003F232C"/>
    <w:rsid w:val="003F480D"/>
    <w:rsid w:val="003F51E3"/>
    <w:rsid w:val="003F789D"/>
    <w:rsid w:val="00400BC9"/>
    <w:rsid w:val="00410546"/>
    <w:rsid w:val="004148AF"/>
    <w:rsid w:val="00414E0F"/>
    <w:rsid w:val="00417FCC"/>
    <w:rsid w:val="004206BF"/>
    <w:rsid w:val="00431BDC"/>
    <w:rsid w:val="0043233D"/>
    <w:rsid w:val="0044107B"/>
    <w:rsid w:val="00452493"/>
    <w:rsid w:val="00453F26"/>
    <w:rsid w:val="00463D17"/>
    <w:rsid w:val="004773ED"/>
    <w:rsid w:val="0047780A"/>
    <w:rsid w:val="0048509F"/>
    <w:rsid w:val="00486F26"/>
    <w:rsid w:val="00491F93"/>
    <w:rsid w:val="00496997"/>
    <w:rsid w:val="004A3FC4"/>
    <w:rsid w:val="004B5639"/>
    <w:rsid w:val="004C52ED"/>
    <w:rsid w:val="004C53BC"/>
    <w:rsid w:val="004D0D34"/>
    <w:rsid w:val="004D6544"/>
    <w:rsid w:val="004E72FE"/>
    <w:rsid w:val="004F0373"/>
    <w:rsid w:val="004F1A0A"/>
    <w:rsid w:val="004F5E93"/>
    <w:rsid w:val="00504BB0"/>
    <w:rsid w:val="00506218"/>
    <w:rsid w:val="00515E8A"/>
    <w:rsid w:val="00524E6A"/>
    <w:rsid w:val="005408B6"/>
    <w:rsid w:val="00540C34"/>
    <w:rsid w:val="00542320"/>
    <w:rsid w:val="00546D09"/>
    <w:rsid w:val="005474D5"/>
    <w:rsid w:val="00552C03"/>
    <w:rsid w:val="00555532"/>
    <w:rsid w:val="005669FF"/>
    <w:rsid w:val="005725E5"/>
    <w:rsid w:val="005731CC"/>
    <w:rsid w:val="00574208"/>
    <w:rsid w:val="0058137C"/>
    <w:rsid w:val="005A2A2A"/>
    <w:rsid w:val="005A506C"/>
    <w:rsid w:val="005A5EBB"/>
    <w:rsid w:val="005A7021"/>
    <w:rsid w:val="005C0C3C"/>
    <w:rsid w:val="005C4CF4"/>
    <w:rsid w:val="005C6567"/>
    <w:rsid w:val="005D700F"/>
    <w:rsid w:val="005D783C"/>
    <w:rsid w:val="005E329E"/>
    <w:rsid w:val="005E60DE"/>
    <w:rsid w:val="005F4835"/>
    <w:rsid w:val="0061041A"/>
    <w:rsid w:val="00614573"/>
    <w:rsid w:val="00624DCE"/>
    <w:rsid w:val="0063596A"/>
    <w:rsid w:val="00642714"/>
    <w:rsid w:val="00645494"/>
    <w:rsid w:val="0065508A"/>
    <w:rsid w:val="006577BE"/>
    <w:rsid w:val="00663F0E"/>
    <w:rsid w:val="00681635"/>
    <w:rsid w:val="00695669"/>
    <w:rsid w:val="006A2753"/>
    <w:rsid w:val="006A4719"/>
    <w:rsid w:val="006A6BEB"/>
    <w:rsid w:val="006C2E1E"/>
    <w:rsid w:val="006D0C57"/>
    <w:rsid w:val="006D422B"/>
    <w:rsid w:val="006E0772"/>
    <w:rsid w:val="006E5AC0"/>
    <w:rsid w:val="007132CC"/>
    <w:rsid w:val="007158E6"/>
    <w:rsid w:val="007170FC"/>
    <w:rsid w:val="007333B7"/>
    <w:rsid w:val="00733430"/>
    <w:rsid w:val="0073367F"/>
    <w:rsid w:val="007726F9"/>
    <w:rsid w:val="00772D69"/>
    <w:rsid w:val="00782CC0"/>
    <w:rsid w:val="00783425"/>
    <w:rsid w:val="00792542"/>
    <w:rsid w:val="007B178E"/>
    <w:rsid w:val="007B3DCC"/>
    <w:rsid w:val="007C093E"/>
    <w:rsid w:val="007C46AF"/>
    <w:rsid w:val="007D6D5F"/>
    <w:rsid w:val="007F1B14"/>
    <w:rsid w:val="007F2AAB"/>
    <w:rsid w:val="007F411B"/>
    <w:rsid w:val="007F78BA"/>
    <w:rsid w:val="00805485"/>
    <w:rsid w:val="0081140B"/>
    <w:rsid w:val="00811EA0"/>
    <w:rsid w:val="0081244F"/>
    <w:rsid w:val="00812862"/>
    <w:rsid w:val="0081499F"/>
    <w:rsid w:val="00820D84"/>
    <w:rsid w:val="00830BDE"/>
    <w:rsid w:val="00836994"/>
    <w:rsid w:val="00836A7D"/>
    <w:rsid w:val="0084225D"/>
    <w:rsid w:val="0084532C"/>
    <w:rsid w:val="0085476F"/>
    <w:rsid w:val="008579F6"/>
    <w:rsid w:val="00861880"/>
    <w:rsid w:val="0086243C"/>
    <w:rsid w:val="008674A6"/>
    <w:rsid w:val="00873F01"/>
    <w:rsid w:val="00877F10"/>
    <w:rsid w:val="00887D5A"/>
    <w:rsid w:val="00893498"/>
    <w:rsid w:val="00897C6A"/>
    <w:rsid w:val="008A0F94"/>
    <w:rsid w:val="008A671B"/>
    <w:rsid w:val="008B377A"/>
    <w:rsid w:val="008B52BD"/>
    <w:rsid w:val="008B5F70"/>
    <w:rsid w:val="008C1984"/>
    <w:rsid w:val="008C3C96"/>
    <w:rsid w:val="008C44E2"/>
    <w:rsid w:val="008D0130"/>
    <w:rsid w:val="008E0D8F"/>
    <w:rsid w:val="008E1DB0"/>
    <w:rsid w:val="008E5894"/>
    <w:rsid w:val="008E65B3"/>
    <w:rsid w:val="00902970"/>
    <w:rsid w:val="0090656F"/>
    <w:rsid w:val="00910FEA"/>
    <w:rsid w:val="00921782"/>
    <w:rsid w:val="009308AA"/>
    <w:rsid w:val="00932A1B"/>
    <w:rsid w:val="0093399A"/>
    <w:rsid w:val="00942C9C"/>
    <w:rsid w:val="00956903"/>
    <w:rsid w:val="0096203F"/>
    <w:rsid w:val="00972803"/>
    <w:rsid w:val="00983044"/>
    <w:rsid w:val="00994366"/>
    <w:rsid w:val="009945A0"/>
    <w:rsid w:val="009A2588"/>
    <w:rsid w:val="009B2530"/>
    <w:rsid w:val="009B50FD"/>
    <w:rsid w:val="009B77C1"/>
    <w:rsid w:val="009C0E5A"/>
    <w:rsid w:val="009C27B2"/>
    <w:rsid w:val="009C2A12"/>
    <w:rsid w:val="009E3744"/>
    <w:rsid w:val="009E4132"/>
    <w:rsid w:val="009F424C"/>
    <w:rsid w:val="009F6AB3"/>
    <w:rsid w:val="00A00581"/>
    <w:rsid w:val="00A01810"/>
    <w:rsid w:val="00A01B31"/>
    <w:rsid w:val="00A10143"/>
    <w:rsid w:val="00A17CDE"/>
    <w:rsid w:val="00A320D1"/>
    <w:rsid w:val="00A44A8F"/>
    <w:rsid w:val="00A544A4"/>
    <w:rsid w:val="00A74C73"/>
    <w:rsid w:val="00A829BA"/>
    <w:rsid w:val="00A85539"/>
    <w:rsid w:val="00A8690D"/>
    <w:rsid w:val="00A90624"/>
    <w:rsid w:val="00A93BA4"/>
    <w:rsid w:val="00A96C11"/>
    <w:rsid w:val="00A971B8"/>
    <w:rsid w:val="00AB4497"/>
    <w:rsid w:val="00AB78E5"/>
    <w:rsid w:val="00AC07DC"/>
    <w:rsid w:val="00AC6D9C"/>
    <w:rsid w:val="00AE7DCF"/>
    <w:rsid w:val="00AF22DF"/>
    <w:rsid w:val="00AF5E93"/>
    <w:rsid w:val="00B017F9"/>
    <w:rsid w:val="00B03CAB"/>
    <w:rsid w:val="00B043CC"/>
    <w:rsid w:val="00B07E1A"/>
    <w:rsid w:val="00B23DB6"/>
    <w:rsid w:val="00B27B4D"/>
    <w:rsid w:val="00B40F5C"/>
    <w:rsid w:val="00B47CA7"/>
    <w:rsid w:val="00B55365"/>
    <w:rsid w:val="00B70099"/>
    <w:rsid w:val="00B756DB"/>
    <w:rsid w:val="00B9102C"/>
    <w:rsid w:val="00B9398B"/>
    <w:rsid w:val="00B941E2"/>
    <w:rsid w:val="00B94E55"/>
    <w:rsid w:val="00BA720F"/>
    <w:rsid w:val="00BB12B8"/>
    <w:rsid w:val="00BB4388"/>
    <w:rsid w:val="00BB520B"/>
    <w:rsid w:val="00BC2307"/>
    <w:rsid w:val="00BC2FDA"/>
    <w:rsid w:val="00BC314A"/>
    <w:rsid w:val="00BC7702"/>
    <w:rsid w:val="00BD46E5"/>
    <w:rsid w:val="00BF5CB5"/>
    <w:rsid w:val="00BF5D89"/>
    <w:rsid w:val="00BF760D"/>
    <w:rsid w:val="00C04629"/>
    <w:rsid w:val="00C06781"/>
    <w:rsid w:val="00C13746"/>
    <w:rsid w:val="00C2093C"/>
    <w:rsid w:val="00C246A2"/>
    <w:rsid w:val="00C36CB0"/>
    <w:rsid w:val="00C4108F"/>
    <w:rsid w:val="00C47225"/>
    <w:rsid w:val="00C505FE"/>
    <w:rsid w:val="00C57A5E"/>
    <w:rsid w:val="00C651B6"/>
    <w:rsid w:val="00C716CF"/>
    <w:rsid w:val="00C730AF"/>
    <w:rsid w:val="00C87EDD"/>
    <w:rsid w:val="00C91FAC"/>
    <w:rsid w:val="00CA21C9"/>
    <w:rsid w:val="00CA7E58"/>
    <w:rsid w:val="00CB000B"/>
    <w:rsid w:val="00CB406A"/>
    <w:rsid w:val="00CC45AD"/>
    <w:rsid w:val="00CC7CCC"/>
    <w:rsid w:val="00CE68E3"/>
    <w:rsid w:val="00D008FD"/>
    <w:rsid w:val="00D03AE9"/>
    <w:rsid w:val="00D15116"/>
    <w:rsid w:val="00D211A1"/>
    <w:rsid w:val="00D251A7"/>
    <w:rsid w:val="00D31A84"/>
    <w:rsid w:val="00D37747"/>
    <w:rsid w:val="00D45389"/>
    <w:rsid w:val="00D55CD2"/>
    <w:rsid w:val="00D56C73"/>
    <w:rsid w:val="00D5785C"/>
    <w:rsid w:val="00D604DA"/>
    <w:rsid w:val="00D610A5"/>
    <w:rsid w:val="00D74185"/>
    <w:rsid w:val="00D85B4E"/>
    <w:rsid w:val="00D90B52"/>
    <w:rsid w:val="00D90FC6"/>
    <w:rsid w:val="00D9223E"/>
    <w:rsid w:val="00DA0A4E"/>
    <w:rsid w:val="00DA57B7"/>
    <w:rsid w:val="00DC3014"/>
    <w:rsid w:val="00DD3E3C"/>
    <w:rsid w:val="00DF08D2"/>
    <w:rsid w:val="00DF2976"/>
    <w:rsid w:val="00DF44D5"/>
    <w:rsid w:val="00E00684"/>
    <w:rsid w:val="00E11020"/>
    <w:rsid w:val="00E1583E"/>
    <w:rsid w:val="00E55483"/>
    <w:rsid w:val="00E60081"/>
    <w:rsid w:val="00E60A08"/>
    <w:rsid w:val="00E635BE"/>
    <w:rsid w:val="00E70312"/>
    <w:rsid w:val="00E73F4B"/>
    <w:rsid w:val="00E96941"/>
    <w:rsid w:val="00EA33A6"/>
    <w:rsid w:val="00ED40C2"/>
    <w:rsid w:val="00ED7858"/>
    <w:rsid w:val="00EE2028"/>
    <w:rsid w:val="00EE2DC4"/>
    <w:rsid w:val="00EE3FE6"/>
    <w:rsid w:val="00EF06F3"/>
    <w:rsid w:val="00EF4988"/>
    <w:rsid w:val="00F00354"/>
    <w:rsid w:val="00F116DD"/>
    <w:rsid w:val="00F2433A"/>
    <w:rsid w:val="00F55AEE"/>
    <w:rsid w:val="00F57A6D"/>
    <w:rsid w:val="00F63CBD"/>
    <w:rsid w:val="00F6694F"/>
    <w:rsid w:val="00F675D7"/>
    <w:rsid w:val="00F67A61"/>
    <w:rsid w:val="00F81B14"/>
    <w:rsid w:val="00F8685E"/>
    <w:rsid w:val="00FA029D"/>
    <w:rsid w:val="00FA3FFB"/>
    <w:rsid w:val="00FA60C3"/>
    <w:rsid w:val="00FB1031"/>
    <w:rsid w:val="00FC7F80"/>
    <w:rsid w:val="00FD4566"/>
    <w:rsid w:val="00FD7B04"/>
    <w:rsid w:val="00FE3249"/>
    <w:rsid w:val="00FE52A6"/>
    <w:rsid w:val="00FF1383"/>
    <w:rsid w:val="00FF23A9"/>
    <w:rsid w:val="00FF2C66"/>
    <w:rsid w:val="00FF4272"/>
    <w:rsid w:val="00FF48B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 w:type="paragraph" w:styleId="Rvision">
    <w:name w:val="Revision"/>
    <w:hidden/>
    <w:uiPriority w:val="99"/>
    <w:semiHidden/>
    <w:rsid w:val="00D45389"/>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 w:type="paragraph" w:styleId="Rvision">
    <w:name w:val="Revision"/>
    <w:hidden/>
    <w:uiPriority w:val="99"/>
    <w:semiHidden/>
    <w:rsid w:val="00D4538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1322">
      <w:bodyDiv w:val="1"/>
      <w:marLeft w:val="0"/>
      <w:marRight w:val="0"/>
      <w:marTop w:val="0"/>
      <w:marBottom w:val="0"/>
      <w:divBdr>
        <w:top w:val="none" w:sz="0" w:space="0" w:color="auto"/>
        <w:left w:val="none" w:sz="0" w:space="0" w:color="auto"/>
        <w:bottom w:val="none" w:sz="0" w:space="0" w:color="auto"/>
        <w:right w:val="none" w:sz="0" w:space="0" w:color="auto"/>
      </w:divBdr>
    </w:div>
    <w:div w:id="289553518">
      <w:bodyDiv w:val="1"/>
      <w:marLeft w:val="0"/>
      <w:marRight w:val="0"/>
      <w:marTop w:val="0"/>
      <w:marBottom w:val="0"/>
      <w:divBdr>
        <w:top w:val="none" w:sz="0" w:space="0" w:color="auto"/>
        <w:left w:val="none" w:sz="0" w:space="0" w:color="auto"/>
        <w:bottom w:val="none" w:sz="0" w:space="0" w:color="auto"/>
        <w:right w:val="none" w:sz="0" w:space="0" w:color="auto"/>
      </w:divBdr>
    </w:div>
    <w:div w:id="324549692">
      <w:bodyDiv w:val="1"/>
      <w:marLeft w:val="0"/>
      <w:marRight w:val="0"/>
      <w:marTop w:val="0"/>
      <w:marBottom w:val="0"/>
      <w:divBdr>
        <w:top w:val="none" w:sz="0" w:space="0" w:color="auto"/>
        <w:left w:val="none" w:sz="0" w:space="0" w:color="auto"/>
        <w:bottom w:val="none" w:sz="0" w:space="0" w:color="auto"/>
        <w:right w:val="none" w:sz="0" w:space="0" w:color="auto"/>
      </w:divBdr>
    </w:div>
    <w:div w:id="448210636">
      <w:bodyDiv w:val="1"/>
      <w:marLeft w:val="0"/>
      <w:marRight w:val="0"/>
      <w:marTop w:val="0"/>
      <w:marBottom w:val="0"/>
      <w:divBdr>
        <w:top w:val="none" w:sz="0" w:space="0" w:color="auto"/>
        <w:left w:val="none" w:sz="0" w:space="0" w:color="auto"/>
        <w:bottom w:val="none" w:sz="0" w:space="0" w:color="auto"/>
        <w:right w:val="none" w:sz="0" w:space="0" w:color="auto"/>
      </w:divBdr>
    </w:div>
    <w:div w:id="557403640">
      <w:bodyDiv w:val="1"/>
      <w:marLeft w:val="0"/>
      <w:marRight w:val="0"/>
      <w:marTop w:val="0"/>
      <w:marBottom w:val="0"/>
      <w:divBdr>
        <w:top w:val="none" w:sz="0" w:space="0" w:color="auto"/>
        <w:left w:val="none" w:sz="0" w:space="0" w:color="auto"/>
        <w:bottom w:val="none" w:sz="0" w:space="0" w:color="auto"/>
        <w:right w:val="none" w:sz="0" w:space="0" w:color="auto"/>
      </w:divBdr>
    </w:div>
    <w:div w:id="559558404">
      <w:bodyDiv w:val="1"/>
      <w:marLeft w:val="0"/>
      <w:marRight w:val="0"/>
      <w:marTop w:val="0"/>
      <w:marBottom w:val="0"/>
      <w:divBdr>
        <w:top w:val="none" w:sz="0" w:space="0" w:color="auto"/>
        <w:left w:val="none" w:sz="0" w:space="0" w:color="auto"/>
        <w:bottom w:val="none" w:sz="0" w:space="0" w:color="auto"/>
        <w:right w:val="none" w:sz="0" w:space="0" w:color="auto"/>
      </w:divBdr>
    </w:div>
    <w:div w:id="800459069">
      <w:bodyDiv w:val="1"/>
      <w:marLeft w:val="0"/>
      <w:marRight w:val="0"/>
      <w:marTop w:val="0"/>
      <w:marBottom w:val="0"/>
      <w:divBdr>
        <w:top w:val="none" w:sz="0" w:space="0" w:color="auto"/>
        <w:left w:val="none" w:sz="0" w:space="0" w:color="auto"/>
        <w:bottom w:val="none" w:sz="0" w:space="0" w:color="auto"/>
        <w:right w:val="none" w:sz="0" w:space="0" w:color="auto"/>
      </w:divBdr>
    </w:div>
    <w:div w:id="924606386">
      <w:bodyDiv w:val="1"/>
      <w:marLeft w:val="0"/>
      <w:marRight w:val="0"/>
      <w:marTop w:val="0"/>
      <w:marBottom w:val="0"/>
      <w:divBdr>
        <w:top w:val="none" w:sz="0" w:space="0" w:color="auto"/>
        <w:left w:val="none" w:sz="0" w:space="0" w:color="auto"/>
        <w:bottom w:val="none" w:sz="0" w:space="0" w:color="auto"/>
        <w:right w:val="none" w:sz="0" w:space="0" w:color="auto"/>
      </w:divBdr>
    </w:div>
    <w:div w:id="957756820">
      <w:bodyDiv w:val="1"/>
      <w:marLeft w:val="0"/>
      <w:marRight w:val="0"/>
      <w:marTop w:val="0"/>
      <w:marBottom w:val="0"/>
      <w:divBdr>
        <w:top w:val="none" w:sz="0" w:space="0" w:color="auto"/>
        <w:left w:val="none" w:sz="0" w:space="0" w:color="auto"/>
        <w:bottom w:val="none" w:sz="0" w:space="0" w:color="auto"/>
        <w:right w:val="none" w:sz="0" w:space="0" w:color="auto"/>
      </w:divBdr>
    </w:div>
    <w:div w:id="1007444644">
      <w:bodyDiv w:val="1"/>
      <w:marLeft w:val="0"/>
      <w:marRight w:val="0"/>
      <w:marTop w:val="0"/>
      <w:marBottom w:val="0"/>
      <w:divBdr>
        <w:top w:val="none" w:sz="0" w:space="0" w:color="auto"/>
        <w:left w:val="none" w:sz="0" w:space="0" w:color="auto"/>
        <w:bottom w:val="none" w:sz="0" w:space="0" w:color="auto"/>
        <w:right w:val="none" w:sz="0" w:space="0" w:color="auto"/>
      </w:divBdr>
    </w:div>
    <w:div w:id="1023945324">
      <w:bodyDiv w:val="1"/>
      <w:marLeft w:val="0"/>
      <w:marRight w:val="0"/>
      <w:marTop w:val="0"/>
      <w:marBottom w:val="0"/>
      <w:divBdr>
        <w:top w:val="none" w:sz="0" w:space="0" w:color="auto"/>
        <w:left w:val="none" w:sz="0" w:space="0" w:color="auto"/>
        <w:bottom w:val="none" w:sz="0" w:space="0" w:color="auto"/>
        <w:right w:val="none" w:sz="0" w:space="0" w:color="auto"/>
      </w:divBdr>
    </w:div>
    <w:div w:id="1056973619">
      <w:bodyDiv w:val="1"/>
      <w:marLeft w:val="0"/>
      <w:marRight w:val="0"/>
      <w:marTop w:val="0"/>
      <w:marBottom w:val="0"/>
      <w:divBdr>
        <w:top w:val="none" w:sz="0" w:space="0" w:color="auto"/>
        <w:left w:val="none" w:sz="0" w:space="0" w:color="auto"/>
        <w:bottom w:val="none" w:sz="0" w:space="0" w:color="auto"/>
        <w:right w:val="none" w:sz="0" w:space="0" w:color="auto"/>
      </w:divBdr>
    </w:div>
    <w:div w:id="1130590155">
      <w:bodyDiv w:val="1"/>
      <w:marLeft w:val="0"/>
      <w:marRight w:val="0"/>
      <w:marTop w:val="0"/>
      <w:marBottom w:val="0"/>
      <w:divBdr>
        <w:top w:val="none" w:sz="0" w:space="0" w:color="auto"/>
        <w:left w:val="none" w:sz="0" w:space="0" w:color="auto"/>
        <w:bottom w:val="none" w:sz="0" w:space="0" w:color="auto"/>
        <w:right w:val="none" w:sz="0" w:space="0" w:color="auto"/>
      </w:divBdr>
    </w:div>
    <w:div w:id="1383944134">
      <w:bodyDiv w:val="1"/>
      <w:marLeft w:val="0"/>
      <w:marRight w:val="0"/>
      <w:marTop w:val="0"/>
      <w:marBottom w:val="0"/>
      <w:divBdr>
        <w:top w:val="none" w:sz="0" w:space="0" w:color="auto"/>
        <w:left w:val="none" w:sz="0" w:space="0" w:color="auto"/>
        <w:bottom w:val="none" w:sz="0" w:space="0" w:color="auto"/>
        <w:right w:val="none" w:sz="0" w:space="0" w:color="auto"/>
      </w:divBdr>
    </w:div>
    <w:div w:id="1663854386">
      <w:bodyDiv w:val="1"/>
      <w:marLeft w:val="0"/>
      <w:marRight w:val="0"/>
      <w:marTop w:val="0"/>
      <w:marBottom w:val="0"/>
      <w:divBdr>
        <w:top w:val="none" w:sz="0" w:space="0" w:color="auto"/>
        <w:left w:val="none" w:sz="0" w:space="0" w:color="auto"/>
        <w:bottom w:val="none" w:sz="0" w:space="0" w:color="auto"/>
        <w:right w:val="none" w:sz="0" w:space="0" w:color="auto"/>
      </w:divBdr>
    </w:div>
    <w:div w:id="1740519971">
      <w:bodyDiv w:val="1"/>
      <w:marLeft w:val="0"/>
      <w:marRight w:val="0"/>
      <w:marTop w:val="0"/>
      <w:marBottom w:val="0"/>
      <w:divBdr>
        <w:top w:val="none" w:sz="0" w:space="0" w:color="auto"/>
        <w:left w:val="none" w:sz="0" w:space="0" w:color="auto"/>
        <w:bottom w:val="none" w:sz="0" w:space="0" w:color="auto"/>
        <w:right w:val="none" w:sz="0" w:space="0" w:color="auto"/>
      </w:divBdr>
    </w:div>
    <w:div w:id="1888491063">
      <w:bodyDiv w:val="1"/>
      <w:marLeft w:val="0"/>
      <w:marRight w:val="0"/>
      <w:marTop w:val="0"/>
      <w:marBottom w:val="0"/>
      <w:divBdr>
        <w:top w:val="none" w:sz="0" w:space="0" w:color="auto"/>
        <w:left w:val="none" w:sz="0" w:space="0" w:color="auto"/>
        <w:bottom w:val="none" w:sz="0" w:space="0" w:color="auto"/>
        <w:right w:val="none" w:sz="0" w:space="0" w:color="auto"/>
      </w:divBdr>
    </w:div>
    <w:div w:id="212831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4.png"/><Relationship Id="rId26" Type="http://schemas.openxmlformats.org/officeDocument/2006/relationships/image" Target="media/image9.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nes.fr/fr/web/CNES-fr/11149-ed-thd-sat-signature-entre-le-cnes-et-la-caisse-des-depots-et-consignations.php" TargetMode="External"/><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package" Target="embeddings/Microsoft_Excel_Worksheet1.xlsx"/><Relationship Id="rId10" Type="http://schemas.openxmlformats.org/officeDocument/2006/relationships/oleObject" Target="embeddings/oleObject1.bin"/><Relationship Id="rId19" Type="http://schemas.openxmlformats.org/officeDocument/2006/relationships/image" Target="media/image5.gi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95EB-7390-4A6B-84A6-6F8323FB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11154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ESQUIROL</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Fabrice Gély</cp:lastModifiedBy>
  <cp:revision>7</cp:revision>
  <cp:lastPrinted>2016-03-20T10:54:00Z</cp:lastPrinted>
  <dcterms:created xsi:type="dcterms:W3CDTF">2016-03-20T10:28:00Z</dcterms:created>
  <dcterms:modified xsi:type="dcterms:W3CDTF">2016-03-22T09:52:00Z</dcterms:modified>
</cp:coreProperties>
</file>