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4B4593" w14:paraId="7B6C67D0" w14:textId="77777777" w:rsidTr="004B4593">
        <w:tc>
          <w:tcPr>
            <w:tcW w:w="1696" w:type="dxa"/>
          </w:tcPr>
          <w:p w14:paraId="31C13BC4" w14:textId="7CC0B42E" w:rsidR="004B4593" w:rsidRDefault="004B4593" w:rsidP="004B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CD50B6" wp14:editId="0EA82C9A">
                  <wp:extent cx="677577" cy="66305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78" cy="67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vAlign w:val="center"/>
          </w:tcPr>
          <w:p w14:paraId="79A0BC3A" w14:textId="77777777" w:rsidR="004B4593" w:rsidRPr="004B4593" w:rsidRDefault="004B4593" w:rsidP="004B4593">
            <w:pPr>
              <w:jc w:val="center"/>
              <w:rPr>
                <w:b/>
                <w:bCs/>
                <w:sz w:val="28"/>
                <w:szCs w:val="28"/>
              </w:rPr>
            </w:pPr>
            <w:r w:rsidRPr="004B4593">
              <w:rPr>
                <w:b/>
                <w:bCs/>
                <w:sz w:val="28"/>
                <w:szCs w:val="28"/>
              </w:rPr>
              <w:t>Étude statistique et fiabilité des mesures sur la célérité de la lumière par l’expérience des marshmallows et d’un four à micro-ondes</w:t>
            </w:r>
          </w:p>
          <w:p w14:paraId="5D1EA352" w14:textId="77777777" w:rsidR="004B4593" w:rsidRDefault="004B4593" w:rsidP="004B4593">
            <w:pPr>
              <w:jc w:val="center"/>
              <w:rPr>
                <w:b/>
                <w:bCs/>
              </w:rPr>
            </w:pPr>
          </w:p>
        </w:tc>
      </w:tr>
    </w:tbl>
    <w:p w14:paraId="406E947D" w14:textId="77777777" w:rsidR="003B6BB4" w:rsidRDefault="003B6BB4"/>
    <w:p w14:paraId="4521586C" w14:textId="7B993AB8" w:rsidR="004B4593" w:rsidRDefault="00133E4A">
      <w:r>
        <w:t>Capacités exigibles :</w:t>
      </w:r>
    </w:p>
    <w:tbl>
      <w:tblPr>
        <w:tblStyle w:val="Grilledutableau"/>
        <w:tblW w:w="10498" w:type="dxa"/>
        <w:tblLook w:val="04A0" w:firstRow="1" w:lastRow="0" w:firstColumn="1" w:lastColumn="0" w:noHBand="0" w:noVBand="1"/>
      </w:tblPr>
      <w:tblGrid>
        <w:gridCol w:w="5249"/>
        <w:gridCol w:w="5249"/>
      </w:tblGrid>
      <w:tr w:rsidR="004B4593" w14:paraId="3C81DD2D" w14:textId="77777777" w:rsidTr="003B6BB4">
        <w:trPr>
          <w:trHeight w:val="214"/>
        </w:trPr>
        <w:tc>
          <w:tcPr>
            <w:tcW w:w="5249" w:type="dxa"/>
          </w:tcPr>
          <w:p w14:paraId="50C3F065" w14:textId="204469BD" w:rsidR="004B4593" w:rsidRPr="003B6BB4" w:rsidRDefault="004B4593" w:rsidP="003B6B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BB4">
              <w:rPr>
                <w:b/>
                <w:bCs/>
                <w:i/>
                <w:iCs/>
                <w:sz w:val="22"/>
                <w:szCs w:val="22"/>
              </w:rPr>
              <w:t>Physique - chimie</w:t>
            </w:r>
          </w:p>
        </w:tc>
        <w:tc>
          <w:tcPr>
            <w:tcW w:w="5249" w:type="dxa"/>
          </w:tcPr>
          <w:p w14:paraId="07EA245E" w14:textId="4815D105" w:rsidR="004B4593" w:rsidRPr="003B6BB4" w:rsidRDefault="003B6BB4" w:rsidP="003B6B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BB4">
              <w:rPr>
                <w:b/>
                <w:bCs/>
                <w:i/>
                <w:iCs/>
                <w:sz w:val="22"/>
                <w:szCs w:val="22"/>
              </w:rPr>
              <w:t>Numérique</w:t>
            </w:r>
          </w:p>
        </w:tc>
      </w:tr>
      <w:tr w:rsidR="004B4593" w14:paraId="10F1AE83" w14:textId="77777777" w:rsidTr="003B6BB4">
        <w:trPr>
          <w:trHeight w:val="214"/>
        </w:trPr>
        <w:tc>
          <w:tcPr>
            <w:tcW w:w="5249" w:type="dxa"/>
          </w:tcPr>
          <w:p w14:paraId="457FC1C6" w14:textId="77777777" w:rsidR="004B4593" w:rsidRPr="003B6BB4" w:rsidRDefault="003B6BB4">
            <w:pPr>
              <w:rPr>
                <w:i/>
                <w:iCs/>
                <w:sz w:val="22"/>
                <w:szCs w:val="22"/>
              </w:rPr>
            </w:pPr>
            <w:r w:rsidRPr="003B6BB4">
              <w:rPr>
                <w:i/>
                <w:iCs/>
                <w:sz w:val="22"/>
                <w:szCs w:val="22"/>
              </w:rPr>
              <w:t>Exploiter une série de mesures indépendantes d’une grandeur physique :</w:t>
            </w:r>
          </w:p>
          <w:p w14:paraId="5D0ED592" w14:textId="271D4A86" w:rsidR="003B6BB4" w:rsidRPr="003B6BB4" w:rsidRDefault="003B6BB4">
            <w:pPr>
              <w:rPr>
                <w:i/>
                <w:iCs/>
                <w:sz w:val="22"/>
                <w:szCs w:val="22"/>
              </w:rPr>
            </w:pPr>
            <w:r w:rsidRPr="003B6BB4">
              <w:rPr>
                <w:i/>
                <w:iCs/>
                <w:sz w:val="22"/>
                <w:szCs w:val="22"/>
              </w:rPr>
              <w:t xml:space="preserve">Histogramme, moyenne, écart-type. Écrire, avec un nombre adapté de chiffres significatifs, le résultat d’une mesure. </w:t>
            </w:r>
          </w:p>
        </w:tc>
        <w:tc>
          <w:tcPr>
            <w:tcW w:w="5249" w:type="dxa"/>
          </w:tcPr>
          <w:p w14:paraId="1D243428" w14:textId="40A9B498" w:rsidR="004B4593" w:rsidRPr="003B6BB4" w:rsidRDefault="003B6BB4">
            <w:pPr>
              <w:rPr>
                <w:i/>
                <w:iCs/>
                <w:sz w:val="22"/>
                <w:szCs w:val="22"/>
              </w:rPr>
            </w:pPr>
            <w:r w:rsidRPr="003B6BB4">
              <w:rPr>
                <w:i/>
                <w:iCs/>
                <w:sz w:val="22"/>
                <w:szCs w:val="22"/>
              </w:rPr>
              <w:t>Représenter l’histogramme associé à une série de mesure</w:t>
            </w:r>
          </w:p>
        </w:tc>
      </w:tr>
    </w:tbl>
    <w:p w14:paraId="5A094FD5" w14:textId="77777777" w:rsidR="00133E4A" w:rsidRDefault="00133E4A"/>
    <w:p w14:paraId="44FDB83D" w14:textId="49A082E5" w:rsidR="00133E4A" w:rsidRDefault="00133E4A">
      <w:r>
        <w:t xml:space="preserve">Objectifs : </w:t>
      </w:r>
      <w:r w:rsidR="00D11412">
        <w:t>avoir un esprit critique face aux résultats des différents groupes trouvés lors de l’expérience de détermination de la célérité de la lumière.</w:t>
      </w:r>
    </w:p>
    <w:p w14:paraId="21920103" w14:textId="77777777" w:rsidR="00133E4A" w:rsidRDefault="00133E4A"/>
    <w:p w14:paraId="5772829E" w14:textId="3E81FB1E" w:rsidR="004B55D8" w:rsidRDefault="004B55D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A176DE" w14:paraId="3661E6FF" w14:textId="5A8F9D35" w:rsidTr="00A176DE">
        <w:trPr>
          <w:trHeight w:val="586"/>
        </w:trPr>
        <w:tc>
          <w:tcPr>
            <w:tcW w:w="950" w:type="dxa"/>
            <w:vAlign w:val="center"/>
          </w:tcPr>
          <w:p w14:paraId="183F26F2" w14:textId="4E5CB6BD" w:rsidR="00A176DE" w:rsidRDefault="00A176DE" w:rsidP="00A176DE">
            <w:pPr>
              <w:jc w:val="center"/>
            </w:pPr>
            <w:r>
              <w:t>Groupe</w:t>
            </w:r>
          </w:p>
        </w:tc>
        <w:tc>
          <w:tcPr>
            <w:tcW w:w="950" w:type="dxa"/>
            <w:vAlign w:val="center"/>
          </w:tcPr>
          <w:p w14:paraId="49C5D0C7" w14:textId="7956B982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°1</w:t>
            </w:r>
          </w:p>
        </w:tc>
        <w:tc>
          <w:tcPr>
            <w:tcW w:w="950" w:type="dxa"/>
            <w:vAlign w:val="center"/>
          </w:tcPr>
          <w:p w14:paraId="44E74B58" w14:textId="070CF0B2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°2</w:t>
            </w:r>
          </w:p>
        </w:tc>
        <w:tc>
          <w:tcPr>
            <w:tcW w:w="950" w:type="dxa"/>
            <w:vAlign w:val="center"/>
          </w:tcPr>
          <w:p w14:paraId="78423BC4" w14:textId="37F0A6B3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°3</w:t>
            </w:r>
          </w:p>
        </w:tc>
        <w:tc>
          <w:tcPr>
            <w:tcW w:w="950" w:type="dxa"/>
            <w:vAlign w:val="center"/>
          </w:tcPr>
          <w:p w14:paraId="1FFBD560" w14:textId="46BBBE88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°4</w:t>
            </w:r>
          </w:p>
        </w:tc>
        <w:tc>
          <w:tcPr>
            <w:tcW w:w="950" w:type="dxa"/>
            <w:vAlign w:val="center"/>
          </w:tcPr>
          <w:p w14:paraId="1B35916E" w14:textId="4F9F0D34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°5</w:t>
            </w:r>
          </w:p>
        </w:tc>
        <w:tc>
          <w:tcPr>
            <w:tcW w:w="950" w:type="dxa"/>
            <w:vAlign w:val="center"/>
          </w:tcPr>
          <w:p w14:paraId="7118DC5C" w14:textId="2FBC2816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°6</w:t>
            </w:r>
          </w:p>
        </w:tc>
        <w:tc>
          <w:tcPr>
            <w:tcW w:w="950" w:type="dxa"/>
            <w:vAlign w:val="center"/>
          </w:tcPr>
          <w:p w14:paraId="61CAA67D" w14:textId="0FB20E3D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°7</w:t>
            </w:r>
          </w:p>
        </w:tc>
        <w:tc>
          <w:tcPr>
            <w:tcW w:w="950" w:type="dxa"/>
            <w:vAlign w:val="center"/>
          </w:tcPr>
          <w:p w14:paraId="64D0EBA1" w14:textId="77EF0A30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°8</w:t>
            </w:r>
          </w:p>
        </w:tc>
        <w:tc>
          <w:tcPr>
            <w:tcW w:w="950" w:type="dxa"/>
            <w:vAlign w:val="center"/>
          </w:tcPr>
          <w:p w14:paraId="5A9B8BD9" w14:textId="042F7819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°9</w:t>
            </w:r>
          </w:p>
        </w:tc>
        <w:tc>
          <w:tcPr>
            <w:tcW w:w="950" w:type="dxa"/>
            <w:vAlign w:val="center"/>
          </w:tcPr>
          <w:p w14:paraId="528EDE6F" w14:textId="1C104620" w:rsidR="00A176DE" w:rsidRDefault="00A176DE" w:rsidP="00A176DE">
            <w:pPr>
              <w:jc w:val="center"/>
            </w:pPr>
            <w:proofErr w:type="gramStart"/>
            <w:r>
              <w:t>n</w:t>
            </w:r>
            <w:proofErr w:type="gramEnd"/>
            <w:r>
              <w:t>°10</w:t>
            </w:r>
          </w:p>
        </w:tc>
      </w:tr>
      <w:tr w:rsidR="00A176DE" w14:paraId="3DCCA496" w14:textId="4DF81C8B" w:rsidTr="00A176DE">
        <w:trPr>
          <w:trHeight w:val="586"/>
        </w:trPr>
        <w:tc>
          <w:tcPr>
            <w:tcW w:w="950" w:type="dxa"/>
            <w:vAlign w:val="center"/>
          </w:tcPr>
          <w:p w14:paraId="64E79974" w14:textId="53559C51" w:rsidR="00A176DE" w:rsidRPr="00A176DE" w:rsidRDefault="00A176DE" w:rsidP="00A176DE">
            <w:pPr>
              <w:jc w:val="center"/>
              <w:rPr>
                <w:sz w:val="21"/>
                <w:szCs w:val="21"/>
              </w:rPr>
            </w:pPr>
            <w:r w:rsidRPr="00A176DE">
              <w:rPr>
                <w:sz w:val="21"/>
                <w:szCs w:val="21"/>
              </w:rPr>
              <w:t>C (m.s</w:t>
            </w:r>
            <w:r w:rsidRPr="00A176DE">
              <w:rPr>
                <w:sz w:val="21"/>
                <w:szCs w:val="21"/>
                <w:vertAlign w:val="superscript"/>
              </w:rPr>
              <w:t>-1</w:t>
            </w:r>
            <w:r w:rsidRPr="00A176DE">
              <w:rPr>
                <w:sz w:val="21"/>
                <w:szCs w:val="21"/>
              </w:rPr>
              <w:t>)</w:t>
            </w:r>
          </w:p>
        </w:tc>
        <w:tc>
          <w:tcPr>
            <w:tcW w:w="950" w:type="dxa"/>
            <w:vAlign w:val="center"/>
          </w:tcPr>
          <w:p w14:paraId="23F6E8A9" w14:textId="6A3154C7" w:rsidR="00A176DE" w:rsidRPr="00C12B91" w:rsidRDefault="00A176DE" w:rsidP="00A176DE">
            <w:pPr>
              <w:jc w:val="center"/>
              <w:rPr>
                <w:sz w:val="20"/>
                <w:szCs w:val="20"/>
              </w:rPr>
            </w:pPr>
            <w:r w:rsidRPr="00C12B91">
              <w:rPr>
                <w:sz w:val="20"/>
                <w:szCs w:val="20"/>
              </w:rPr>
              <w:t>3,06.10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524855FD" w14:textId="68082ADE" w:rsidR="00A176DE" w:rsidRPr="00C12B91" w:rsidRDefault="00A176DE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2,6.10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3C17A666" w14:textId="7CD3F49E" w:rsidR="00A176DE" w:rsidRPr="00C12B91" w:rsidRDefault="00A176DE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3,2.10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72576893" w14:textId="30B22181" w:rsidR="00A176DE" w:rsidRPr="00C12B91" w:rsidRDefault="00A176DE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2,94.10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1E53C139" w14:textId="04D191EC" w:rsidR="00A176DE" w:rsidRPr="00C12B91" w:rsidRDefault="00A176DE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2,7.10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0E2857E4" w14:textId="4F5D46BB" w:rsidR="00A176DE" w:rsidRPr="008424BC" w:rsidRDefault="00A176DE" w:rsidP="008424BC">
            <w:pPr>
              <w:rPr>
                <w:sz w:val="18"/>
                <w:szCs w:val="18"/>
                <w:vertAlign w:val="superscript"/>
              </w:rPr>
            </w:pPr>
            <w:r w:rsidRPr="008424BC">
              <w:rPr>
                <w:sz w:val="18"/>
                <w:szCs w:val="18"/>
              </w:rPr>
              <w:t>3,136.10</w:t>
            </w:r>
            <w:r w:rsidRPr="008424BC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3CC07170" w14:textId="0D63693E" w:rsidR="00A176DE" w:rsidRPr="00C12B91" w:rsidRDefault="00A176DE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3,03.10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329875BF" w14:textId="15FDCE1F" w:rsidR="00A176DE" w:rsidRPr="00C12B91" w:rsidRDefault="00A176DE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2,9.10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69FDCB7C" w14:textId="0497804D" w:rsidR="00A176DE" w:rsidRPr="00C12B91" w:rsidRDefault="00A176DE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2,7</w:t>
            </w:r>
            <w:r w:rsidR="008424BC" w:rsidRPr="00C12B91">
              <w:rPr>
                <w:sz w:val="20"/>
                <w:szCs w:val="20"/>
              </w:rPr>
              <w:t>4</w:t>
            </w:r>
            <w:r w:rsidRPr="00C12B91">
              <w:rPr>
                <w:sz w:val="20"/>
                <w:szCs w:val="20"/>
              </w:rPr>
              <w:t>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50" w:type="dxa"/>
            <w:vAlign w:val="center"/>
          </w:tcPr>
          <w:p w14:paraId="426BE0A1" w14:textId="30135925" w:rsidR="00A176DE" w:rsidRPr="00C12B91" w:rsidRDefault="008424BC" w:rsidP="00A176D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12B91">
              <w:rPr>
                <w:sz w:val="20"/>
                <w:szCs w:val="20"/>
              </w:rPr>
              <w:t>2,89.10</w:t>
            </w:r>
            <w:r w:rsidRPr="00C12B91">
              <w:rPr>
                <w:sz w:val="20"/>
                <w:szCs w:val="20"/>
                <w:vertAlign w:val="superscript"/>
              </w:rPr>
              <w:t>8</w:t>
            </w:r>
          </w:p>
        </w:tc>
      </w:tr>
    </w:tbl>
    <w:p w14:paraId="1B8B898A" w14:textId="55DB44A7" w:rsidR="00811604" w:rsidRDefault="00811604"/>
    <w:p w14:paraId="57E5AC42" w14:textId="43B8B55F" w:rsidR="004F6460" w:rsidRDefault="004F6460">
      <w:r>
        <w:t>Les résultats obtenus mont</w:t>
      </w:r>
      <w:r w:rsidR="00E262D0">
        <w:t>r</w:t>
      </w:r>
      <w:r>
        <w:t xml:space="preserve">ent pour chaque expérience réalisée par les différents groupes une variabilité des mesures. Il faut donc s’intéresser au meilleur estimateur de la valeur de la célérité de la lumière : sa valeur moyenne c sur les </w:t>
      </w:r>
      <w:r w:rsidR="00E262D0">
        <w:t>10</w:t>
      </w:r>
      <w:r>
        <w:t xml:space="preserve"> mesures</w:t>
      </w:r>
      <w:r w:rsidR="004D2AD1">
        <w:t xml:space="preserve"> à laquelle on associe une incertitude-type u(c).</w:t>
      </w:r>
    </w:p>
    <w:p w14:paraId="1F5043FE" w14:textId="7D33A501" w:rsidR="004D2AD1" w:rsidRDefault="004D2AD1">
      <w:r>
        <w:t xml:space="preserve">La variabilité d’une mesure s’observe facilement à l’aide d’un histogramme représentant le nombre de valeurs obtenues pour chaque valeur de célérité relevée. </w:t>
      </w:r>
    </w:p>
    <w:p w14:paraId="414E0043" w14:textId="2012C838" w:rsidR="00E262D0" w:rsidRDefault="00E262D0"/>
    <w:p w14:paraId="6E103F3A" w14:textId="3A5AFBDD" w:rsidR="00E9310B" w:rsidRDefault="00DA4A8F" w:rsidP="00E262D0">
      <w:pPr>
        <w:pStyle w:val="Paragraphedeliste"/>
        <w:numPr>
          <w:ilvl w:val="0"/>
          <w:numId w:val="1"/>
        </w:numPr>
      </w:pPr>
      <w:r>
        <w:t>Indiquez le nombre de chiffres significatifs de chaque résultat</w:t>
      </w:r>
      <w:r w:rsidR="00E9310B">
        <w:t xml:space="preserve"> dans le tableau suivant</w:t>
      </w:r>
      <w:r>
        <w:t xml:space="preserve">. Y a-t-il une </w:t>
      </w:r>
      <w:r w:rsidR="00082508">
        <w:t xml:space="preserve">(ou plusieurs) </w:t>
      </w:r>
      <w:r>
        <w:t>valeur</w:t>
      </w:r>
      <w:r w:rsidR="00082508">
        <w:t>(s)</w:t>
      </w:r>
      <w:r>
        <w:t xml:space="preserve"> qui vous parait être l</w:t>
      </w:r>
      <w:r w:rsidR="003B6BB4">
        <w:t>a</w:t>
      </w:r>
      <w:r>
        <w:t xml:space="preserve"> moins </w:t>
      </w:r>
      <w:r w:rsidR="00082508">
        <w:t>réelle</w:t>
      </w:r>
      <w:r>
        <w:t> ? Justifier</w:t>
      </w:r>
    </w:p>
    <w:p w14:paraId="0D2B2B4E" w14:textId="77777777" w:rsidR="00E9310B" w:rsidRDefault="00DA4A8F" w:rsidP="00E9310B">
      <w: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E9310B" w14:paraId="54ED0A11" w14:textId="6911398C" w:rsidTr="0047516A">
        <w:tc>
          <w:tcPr>
            <w:tcW w:w="950" w:type="dxa"/>
            <w:vAlign w:val="center"/>
          </w:tcPr>
          <w:p w14:paraId="5BD28248" w14:textId="28040821" w:rsidR="00E9310B" w:rsidRDefault="00E9310B" w:rsidP="00E9310B">
            <w:pPr>
              <w:jc w:val="center"/>
            </w:pPr>
            <w:r>
              <w:t>Groupe</w:t>
            </w:r>
          </w:p>
        </w:tc>
        <w:tc>
          <w:tcPr>
            <w:tcW w:w="950" w:type="dxa"/>
            <w:vAlign w:val="center"/>
          </w:tcPr>
          <w:p w14:paraId="35DCD874" w14:textId="3DB8994E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°1</w:t>
            </w:r>
          </w:p>
        </w:tc>
        <w:tc>
          <w:tcPr>
            <w:tcW w:w="950" w:type="dxa"/>
            <w:vAlign w:val="center"/>
          </w:tcPr>
          <w:p w14:paraId="74689AE0" w14:textId="6DDE0B77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°2</w:t>
            </w:r>
          </w:p>
        </w:tc>
        <w:tc>
          <w:tcPr>
            <w:tcW w:w="950" w:type="dxa"/>
            <w:vAlign w:val="center"/>
          </w:tcPr>
          <w:p w14:paraId="6C0A812D" w14:textId="7A6AD507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°3</w:t>
            </w:r>
          </w:p>
        </w:tc>
        <w:tc>
          <w:tcPr>
            <w:tcW w:w="950" w:type="dxa"/>
            <w:vAlign w:val="center"/>
          </w:tcPr>
          <w:p w14:paraId="6A0A9AA6" w14:textId="6F7B7709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°4</w:t>
            </w:r>
          </w:p>
        </w:tc>
        <w:tc>
          <w:tcPr>
            <w:tcW w:w="950" w:type="dxa"/>
            <w:vAlign w:val="center"/>
          </w:tcPr>
          <w:p w14:paraId="33DBC386" w14:textId="6E927A18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°5</w:t>
            </w:r>
          </w:p>
        </w:tc>
        <w:tc>
          <w:tcPr>
            <w:tcW w:w="950" w:type="dxa"/>
            <w:vAlign w:val="center"/>
          </w:tcPr>
          <w:p w14:paraId="10E8B0C4" w14:textId="0462E53B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°6</w:t>
            </w:r>
          </w:p>
        </w:tc>
        <w:tc>
          <w:tcPr>
            <w:tcW w:w="950" w:type="dxa"/>
            <w:vAlign w:val="center"/>
          </w:tcPr>
          <w:p w14:paraId="49D214D0" w14:textId="6100BB4F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°7</w:t>
            </w:r>
          </w:p>
        </w:tc>
        <w:tc>
          <w:tcPr>
            <w:tcW w:w="950" w:type="dxa"/>
            <w:vAlign w:val="center"/>
          </w:tcPr>
          <w:p w14:paraId="1B753F97" w14:textId="741EAC59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°8</w:t>
            </w:r>
          </w:p>
        </w:tc>
        <w:tc>
          <w:tcPr>
            <w:tcW w:w="950" w:type="dxa"/>
            <w:vAlign w:val="center"/>
          </w:tcPr>
          <w:p w14:paraId="7C153707" w14:textId="57C6CCB0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°9</w:t>
            </w:r>
          </w:p>
        </w:tc>
        <w:tc>
          <w:tcPr>
            <w:tcW w:w="950" w:type="dxa"/>
            <w:vAlign w:val="center"/>
          </w:tcPr>
          <w:p w14:paraId="54D9A4AC" w14:textId="00A76D9C" w:rsidR="00E9310B" w:rsidRDefault="00E9310B" w:rsidP="00E9310B">
            <w:pPr>
              <w:jc w:val="center"/>
            </w:pPr>
            <w:proofErr w:type="gramStart"/>
            <w:r>
              <w:t>n</w:t>
            </w:r>
            <w:proofErr w:type="gramEnd"/>
            <w:r>
              <w:t>°10</w:t>
            </w:r>
          </w:p>
        </w:tc>
      </w:tr>
      <w:tr w:rsidR="00E9310B" w14:paraId="16DD79CE" w14:textId="3C8F3B24" w:rsidTr="00E9310B">
        <w:tc>
          <w:tcPr>
            <w:tcW w:w="950" w:type="dxa"/>
          </w:tcPr>
          <w:p w14:paraId="24A81834" w14:textId="04DFF67B" w:rsidR="00E9310B" w:rsidRPr="00E9310B" w:rsidRDefault="00E9310B" w:rsidP="00E9310B">
            <w:pPr>
              <w:rPr>
                <w:sz w:val="16"/>
                <w:szCs w:val="16"/>
              </w:rPr>
            </w:pPr>
            <w:r w:rsidRPr="00E9310B">
              <w:rPr>
                <w:sz w:val="16"/>
                <w:szCs w:val="16"/>
              </w:rPr>
              <w:t>Chiffre</w:t>
            </w:r>
            <w:r>
              <w:rPr>
                <w:sz w:val="16"/>
                <w:szCs w:val="16"/>
              </w:rPr>
              <w:t>s</w:t>
            </w:r>
            <w:r w:rsidRPr="00E9310B">
              <w:rPr>
                <w:sz w:val="16"/>
                <w:szCs w:val="16"/>
              </w:rPr>
              <w:t xml:space="preserve"> significatif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50" w:type="dxa"/>
          </w:tcPr>
          <w:p w14:paraId="5FB53730" w14:textId="77777777" w:rsidR="00E9310B" w:rsidRDefault="00E9310B" w:rsidP="00E9310B"/>
        </w:tc>
        <w:tc>
          <w:tcPr>
            <w:tcW w:w="950" w:type="dxa"/>
          </w:tcPr>
          <w:p w14:paraId="46132466" w14:textId="77777777" w:rsidR="00E9310B" w:rsidRDefault="00E9310B" w:rsidP="00E9310B"/>
        </w:tc>
        <w:tc>
          <w:tcPr>
            <w:tcW w:w="950" w:type="dxa"/>
          </w:tcPr>
          <w:p w14:paraId="67682F79" w14:textId="77777777" w:rsidR="00E9310B" w:rsidRDefault="00E9310B" w:rsidP="00E9310B"/>
        </w:tc>
        <w:tc>
          <w:tcPr>
            <w:tcW w:w="950" w:type="dxa"/>
          </w:tcPr>
          <w:p w14:paraId="22F22DAB" w14:textId="77777777" w:rsidR="00E9310B" w:rsidRDefault="00E9310B" w:rsidP="00E9310B"/>
        </w:tc>
        <w:tc>
          <w:tcPr>
            <w:tcW w:w="950" w:type="dxa"/>
          </w:tcPr>
          <w:p w14:paraId="3FCEC480" w14:textId="77777777" w:rsidR="00E9310B" w:rsidRDefault="00E9310B" w:rsidP="00E9310B"/>
        </w:tc>
        <w:tc>
          <w:tcPr>
            <w:tcW w:w="950" w:type="dxa"/>
          </w:tcPr>
          <w:p w14:paraId="7A5531FF" w14:textId="77777777" w:rsidR="00E9310B" w:rsidRDefault="00E9310B" w:rsidP="00E9310B"/>
        </w:tc>
        <w:tc>
          <w:tcPr>
            <w:tcW w:w="950" w:type="dxa"/>
          </w:tcPr>
          <w:p w14:paraId="316BF920" w14:textId="77777777" w:rsidR="00E9310B" w:rsidRDefault="00E9310B" w:rsidP="00E9310B"/>
        </w:tc>
        <w:tc>
          <w:tcPr>
            <w:tcW w:w="950" w:type="dxa"/>
          </w:tcPr>
          <w:p w14:paraId="16411346" w14:textId="77777777" w:rsidR="00E9310B" w:rsidRDefault="00E9310B" w:rsidP="00E9310B"/>
        </w:tc>
        <w:tc>
          <w:tcPr>
            <w:tcW w:w="950" w:type="dxa"/>
          </w:tcPr>
          <w:p w14:paraId="598D2551" w14:textId="77777777" w:rsidR="00E9310B" w:rsidRDefault="00E9310B" w:rsidP="00E9310B"/>
        </w:tc>
        <w:tc>
          <w:tcPr>
            <w:tcW w:w="950" w:type="dxa"/>
          </w:tcPr>
          <w:p w14:paraId="5DDCBA0E" w14:textId="77777777" w:rsidR="00E9310B" w:rsidRDefault="00E9310B" w:rsidP="00E9310B"/>
        </w:tc>
      </w:tr>
    </w:tbl>
    <w:p w14:paraId="13DF613A" w14:textId="22ED859A" w:rsidR="00DA4A8F" w:rsidRDefault="00DA4A8F" w:rsidP="00E9310B"/>
    <w:p w14:paraId="29544775" w14:textId="77777777" w:rsidR="003B6BB4" w:rsidRDefault="00E262D0" w:rsidP="00E262D0">
      <w:pPr>
        <w:pStyle w:val="Paragraphedeliste"/>
        <w:numPr>
          <w:ilvl w:val="0"/>
          <w:numId w:val="1"/>
        </w:numPr>
      </w:pPr>
      <w:r>
        <w:t>A l’aide d’un tableur de votre choix (</w:t>
      </w:r>
      <w:r w:rsidR="002439C2">
        <w:t>E</w:t>
      </w:r>
      <w:r>
        <w:t xml:space="preserve">xcel, </w:t>
      </w:r>
      <w:proofErr w:type="spellStart"/>
      <w:r w:rsidR="002439C2">
        <w:t>L</w:t>
      </w:r>
      <w:r>
        <w:t>ibreofficecalc</w:t>
      </w:r>
      <w:proofErr w:type="spellEnd"/>
      <w:r>
        <w:t>…), vous tracerez l’histogramme correspondant. Imprimez-le</w:t>
      </w:r>
      <w:r w:rsidR="003B6BB4">
        <w:t xml:space="preserve"> et coller la ci-dessous.</w:t>
      </w:r>
    </w:p>
    <w:p w14:paraId="599EDBE4" w14:textId="77777777" w:rsidR="003B6BB4" w:rsidRDefault="003B6BB4" w:rsidP="003B6BB4"/>
    <w:p w14:paraId="0010BABD" w14:textId="77777777" w:rsidR="003B6BB4" w:rsidRDefault="003B6BB4" w:rsidP="003B6BB4"/>
    <w:p w14:paraId="3A0402E7" w14:textId="77777777" w:rsidR="003B6BB4" w:rsidRDefault="003B6BB4" w:rsidP="003B6BB4"/>
    <w:p w14:paraId="040B7B2F" w14:textId="77777777" w:rsidR="003B6BB4" w:rsidRDefault="003B6BB4" w:rsidP="003B6BB4"/>
    <w:p w14:paraId="4AC1F27D" w14:textId="77777777" w:rsidR="003B6BB4" w:rsidRDefault="003B6BB4" w:rsidP="003B6BB4"/>
    <w:p w14:paraId="184D8D04" w14:textId="77777777" w:rsidR="003B6BB4" w:rsidRDefault="003B6BB4" w:rsidP="003B6BB4"/>
    <w:p w14:paraId="7318984F" w14:textId="77777777" w:rsidR="003B6BB4" w:rsidRDefault="003B6BB4" w:rsidP="003B6BB4"/>
    <w:p w14:paraId="0FC019D8" w14:textId="77777777" w:rsidR="003B6BB4" w:rsidRDefault="003B6BB4" w:rsidP="003B6BB4"/>
    <w:p w14:paraId="01F48860" w14:textId="77777777" w:rsidR="003B6BB4" w:rsidRDefault="003B6BB4" w:rsidP="003B6BB4"/>
    <w:p w14:paraId="026576D5" w14:textId="77777777" w:rsidR="003B6BB4" w:rsidRDefault="003B6BB4" w:rsidP="003B6BB4"/>
    <w:p w14:paraId="6B7C87CD" w14:textId="77777777" w:rsidR="003B6BB4" w:rsidRDefault="003B6BB4" w:rsidP="003B6BB4"/>
    <w:p w14:paraId="04C659CA" w14:textId="77777777" w:rsidR="003B6BB4" w:rsidRDefault="003B6BB4" w:rsidP="003B6BB4"/>
    <w:p w14:paraId="3645230B" w14:textId="2372C398" w:rsidR="00E262D0" w:rsidRDefault="003B6BB4" w:rsidP="003B6BB4">
      <w:r>
        <w:t xml:space="preserve"> </w:t>
      </w:r>
    </w:p>
    <w:p w14:paraId="65D697EC" w14:textId="486F5D5E" w:rsidR="0017345C" w:rsidRDefault="00B94915" w:rsidP="00E262D0">
      <w:pPr>
        <w:pStyle w:val="Paragraphedeliste"/>
        <w:numPr>
          <w:ilvl w:val="0"/>
          <w:numId w:val="1"/>
        </w:numPr>
      </w:pPr>
      <w:r>
        <w:lastRenderedPageBreak/>
        <w:t>Le programme Python ci-dessous permet de représenter l’histogramme des mesures réalisées et de calculer la valeur moyenne de la célérité de la lumière, l’écart-type expérimental et l’incertitude-type.</w:t>
      </w:r>
    </w:p>
    <w:p w14:paraId="735DC7D2" w14:textId="77777777" w:rsidR="003B6BB4" w:rsidRDefault="003B6BB4" w:rsidP="003B6BB4"/>
    <w:p w14:paraId="6C56E177" w14:textId="13E17760" w:rsidR="0017345C" w:rsidRDefault="0017345C" w:rsidP="0017345C">
      <w:r>
        <w:t>Programme python :</w:t>
      </w:r>
    </w:p>
    <w:p w14:paraId="4BAD60DC" w14:textId="046B9A8C" w:rsidR="00F323C6" w:rsidRDefault="00082508" w:rsidP="0017345C">
      <w:r>
        <w:rPr>
          <w:noProof/>
        </w:rPr>
        <w:drawing>
          <wp:inline distT="0" distB="0" distL="0" distR="0" wp14:anchorId="2F1498D8" wp14:editId="0B99AE03">
            <wp:extent cx="6642100" cy="21666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6DBF" w14:textId="77777777" w:rsidR="0017345C" w:rsidRDefault="0017345C" w:rsidP="0017345C"/>
    <w:p w14:paraId="4EE62E3C" w14:textId="6E9E57AE" w:rsidR="00E262D0" w:rsidRDefault="0017345C" w:rsidP="0017345C">
      <w:r>
        <w:t>Après exécution du programme python, on obtient la fenêtre graphique et l’affichage des résultats 2 dans la console.</w:t>
      </w:r>
    </w:p>
    <w:p w14:paraId="0B97C37F" w14:textId="51A9D295" w:rsidR="00E262D0" w:rsidRDefault="0013236A" w:rsidP="002439C2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E5D1" wp14:editId="44468221">
                <wp:simplePos x="0" y="0"/>
                <wp:positionH relativeFrom="column">
                  <wp:posOffset>-180906</wp:posOffset>
                </wp:positionH>
                <wp:positionV relativeFrom="paragraph">
                  <wp:posOffset>542637</wp:posOffset>
                </wp:positionV>
                <wp:extent cx="5012690" cy="1394127"/>
                <wp:effectExtent l="0" t="0" r="16510" b="158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690" cy="1394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1EDAC" w14:textId="77777777" w:rsidR="00D11412" w:rsidRDefault="00D11412" w:rsidP="00D11412">
                            <w:r w:rsidRPr="00D11412">
                              <w:rPr>
                                <w:b/>
                                <w:bCs/>
                              </w:rPr>
                              <w:t>Doc 1.</w:t>
                            </w:r>
                            <w:r>
                              <w:t xml:space="preserve"> </w:t>
                            </w:r>
                            <w:r w:rsidRPr="00D11412">
                              <w:rPr>
                                <w:b/>
                                <w:bCs/>
                              </w:rPr>
                              <w:t>Résultats obtenus dans la console python</w:t>
                            </w:r>
                          </w:p>
                          <w:p w14:paraId="02C104D2" w14:textId="22A3E995" w:rsidR="00D11412" w:rsidRDefault="0013236A" w:rsidP="00D114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4AF15" wp14:editId="2E3A346A">
                                  <wp:extent cx="3791585" cy="1047115"/>
                                  <wp:effectExtent l="0" t="0" r="571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1585" cy="1047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CE5D1" id="Rectangle : coins arrondis 3" o:spid="_x0000_s1026" style="position:absolute;left:0;text-align:left;margin-left:-14.25pt;margin-top:42.75pt;width:394.7pt;height:1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ea7fQIAADUFAAAOAAAAZHJzL2Uyb0RvYy54bWysVF9P2zAQf5+072D5faQpBUZEiioQ0yTE&#13;&#10;EDDx7Dp2G83xeWe3Sfdp9ln2yXZ20sBYn6a9OL7c/e7v73xx2TWGbRX6GmzJ86MJZ8pKqGq7KvnX&#13;&#10;p5sPHznzQdhKGLCq5Dvl+eX8/buL1hVqCmswlUJGTqwvWlfydQiuyDIv16oR/gicsqTUgI0IJOIq&#13;&#10;q1C05L0x2XQyOc1awMohSOU9/b3ulXye/GutZPiitVeBmZJTbiGdmM5lPLP5hShWKNy6lkMa4h+y&#13;&#10;aERtKejo6loEwTZY/+WqqSWCBx2OJDQZaF1LlWqgavLJm2oe18KpVAs1x7uxTf7/uZV323tkdVXy&#13;&#10;Y86saGhED9Q0YVdG/fpZMAm19Uwggq1qz45jw1rnC8I9unscJE/XWH2nsYlfqot1qcm7scmqC0zS&#13;&#10;z5NJPj09p1lI0uXH57N8eha9Zi9whz58UtCweCk5wsZWMavUYbG99aG339sROObUZ5FuYWdUTMTY&#13;&#10;B6WpPIo7TehELHVlkG0FUUJIqWzIh/jJOsJ0bcwIzA8BzQgabCNMJcKNwMkh4J8RR0SKCjaM4Ka2&#13;&#10;gIccVN/26erefl99X3MsP3TLbpjMEqodDRihZ7538qampt4KH+4FEtVpELS+4Qsd2kBbchhunK0B&#13;&#10;fxz6H+2JgaTlrKXVKbn/vhGoODOfLXHzPJ/N4q4lYXZyNiUBX2uWrzV201wBjSKnh8LJdI32weyv&#13;&#10;GqF5pi1fxKikElZS7JLLgHvhKvQrTe+EVItFMqP9ciLc2kcno/PY4MiXp+5ZoBuYFYiUd7BfM1G8&#13;&#10;4VZvG5EWFpsAuk7Eiy3u+zq0nnYz8Xd4R+Lyv5aT1ctrN/8NAAD//wMAUEsDBBQABgAIAAAAIQDW&#13;&#10;OgP85AAAAA8BAAAPAAAAZHJzL2Rvd25yZXYueG1sTE89T8MwEN2R+A/WIbG1NkUpIY1TobaZQGpp&#13;&#10;OzA6ieuExucQu2n49xwTLHc6vXfvI12OtmWD7n3jUMLDVADTWLqqQSPheMgnMTAfFFaqdaglfGsP&#13;&#10;y+z2JlVJ5a74rod9MIxE0CdKQh1Cl3Duy1pb5aeu00jYyfVWBTp7w6teXUnctnwmxJxb1SA51KrT&#13;&#10;q1qX5/3FSvh6Nfn6tInVrsjfVpuPwWzPnzsp7+/G9YLGywJY0GP4+4DfDpQfMgpWuAtWnrUSJrM4&#13;&#10;IqqEOKJNhKe5eAZWSHgUkQCepfx/j+wHAAD//wMAUEsBAi0AFAAGAAgAAAAhALaDOJL+AAAA4QEA&#13;&#10;ABMAAAAAAAAAAAAAAAAAAAAAAFtDb250ZW50X1R5cGVzXS54bWxQSwECLQAUAAYACAAAACEAOP0h&#13;&#10;/9YAAACUAQAACwAAAAAAAAAAAAAAAAAvAQAAX3JlbHMvLnJlbHNQSwECLQAUAAYACAAAACEAr1Xm&#13;&#10;u30CAAA1BQAADgAAAAAAAAAAAAAAAAAuAgAAZHJzL2Uyb0RvYy54bWxQSwECLQAUAAYACAAAACEA&#13;&#10;1joD/OQAAAAPAQAADwAAAAAAAAAAAAAAAADXBAAAZHJzL2Rvd25yZXYueG1sUEsFBgAAAAAEAAQA&#13;&#10;8wAAAOgFAAAAAA==&#13;&#10;" fillcolor="white [3201]" strokecolor="#4472c4 [3204]" strokeweight="1pt">
                <v:stroke joinstyle="miter"/>
                <v:textbox>
                  <w:txbxContent>
                    <w:p w14:paraId="2EA1EDAC" w14:textId="77777777" w:rsidR="00D11412" w:rsidRDefault="00D11412" w:rsidP="00D11412">
                      <w:r w:rsidRPr="00D11412">
                        <w:rPr>
                          <w:b/>
                          <w:bCs/>
                        </w:rPr>
                        <w:t>Doc 1.</w:t>
                      </w:r>
                      <w:r>
                        <w:t xml:space="preserve"> </w:t>
                      </w:r>
                      <w:r w:rsidRPr="00D11412">
                        <w:rPr>
                          <w:b/>
                          <w:bCs/>
                        </w:rPr>
                        <w:t>Résultats obtenus dans la console python</w:t>
                      </w:r>
                    </w:p>
                    <w:p w14:paraId="02C104D2" w14:textId="22A3E995" w:rsidR="00D11412" w:rsidRDefault="0013236A" w:rsidP="00D114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4AF15" wp14:editId="2E3A346A">
                            <wp:extent cx="3791585" cy="1047115"/>
                            <wp:effectExtent l="0" t="0" r="571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1585" cy="1047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439C2">
        <w:t>Compléter la ligne 4 du programme Python</w:t>
      </w:r>
      <w:r w:rsidR="00C12B91">
        <w:t xml:space="preserve"> avec </w:t>
      </w:r>
      <w:r w:rsidR="002439C2">
        <w:t>les valeurs de la célérité de la lumière et aux lignes 7 et 8, les légendes des axes des abscisses et des ordonnées pour qu’il affiche l’histogramme 1</w:t>
      </w:r>
      <w:r>
        <w:t xml:space="preserve"> de la question 2)</w:t>
      </w:r>
      <w:r w:rsidR="002439C2">
        <w:t>.</w:t>
      </w:r>
    </w:p>
    <w:p w14:paraId="29A41689" w14:textId="1E983EB1" w:rsidR="002439C2" w:rsidRDefault="002439C2" w:rsidP="002439C2"/>
    <w:p w14:paraId="51E2E3C9" w14:textId="4EB651D1" w:rsidR="002439C2" w:rsidRDefault="002439C2" w:rsidP="002439C2"/>
    <w:p w14:paraId="362F76BA" w14:textId="18403DD8" w:rsidR="00E262D0" w:rsidRDefault="00E262D0"/>
    <w:p w14:paraId="73915072" w14:textId="4C74A90F" w:rsidR="00D11412" w:rsidRDefault="00D11412"/>
    <w:p w14:paraId="32869165" w14:textId="701ED561" w:rsidR="00D11412" w:rsidRDefault="00D11412"/>
    <w:p w14:paraId="5003D118" w14:textId="261DE138" w:rsidR="00D11412" w:rsidRDefault="00D11412"/>
    <w:p w14:paraId="7567B634" w14:textId="20D130C7" w:rsidR="00D11412" w:rsidRDefault="00D11412"/>
    <w:p w14:paraId="0FAEE4F0" w14:textId="14491671" w:rsidR="00D11412" w:rsidRDefault="00D114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A034E" wp14:editId="73BE7B71">
                <wp:simplePos x="0" y="0"/>
                <wp:positionH relativeFrom="column">
                  <wp:posOffset>-179956</wp:posOffset>
                </wp:positionH>
                <wp:positionV relativeFrom="paragraph">
                  <wp:posOffset>163135</wp:posOffset>
                </wp:positionV>
                <wp:extent cx="6611309" cy="2769514"/>
                <wp:effectExtent l="0" t="0" r="18415" b="1206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309" cy="2769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80F90" w14:textId="77777777" w:rsidR="00D11412" w:rsidRPr="00D11412" w:rsidRDefault="00D11412" w:rsidP="00D114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1412">
                              <w:rPr>
                                <w:b/>
                                <w:bCs/>
                              </w:rPr>
                              <w:t>Doc.2 Présentation du résultat issu d’une étude statistique et comparaison avec une valeur de référence</w:t>
                            </w:r>
                          </w:p>
                          <w:p w14:paraId="0519B612" w14:textId="77777777" w:rsidR="00D11412" w:rsidRDefault="00D11412" w:rsidP="00D114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Le résultat d’une mesure de la grandeur M s’exprime de la façon suivante : « dans les conditions de l’expérience, avec un échantillon de n mesures, la valeur de la grandeur M s’écrit :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</m:bar>
                            </m:oMath>
                            <w:r>
                              <w:t xml:space="preserve"> =valeur moyenne unité avec une incertitude-type u(M)= valeur unité.</w:t>
                            </w:r>
                          </w:p>
                          <w:p w14:paraId="466A9134" w14:textId="77777777" w:rsidR="00D11412" w:rsidRDefault="00D11412" w:rsidP="00D11412">
                            <w:pPr>
                              <w:ind w:left="708"/>
                            </w:pPr>
                            <w:r>
                              <w:t xml:space="preserve">L’incertitude-type fournit une estimation de l’étendue des valeurs que l’on peut raisonnablement attribuer à la grandeur M. » </w:t>
                            </w:r>
                          </w:p>
                          <w:p w14:paraId="0151485E" w14:textId="77777777" w:rsidR="00D11412" w:rsidRDefault="00D11412" w:rsidP="00D114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 z-score indique si un résultat est compatible avec une valeur de référence.</w:t>
                            </w:r>
                          </w:p>
                          <w:p w14:paraId="2651F4C6" w14:textId="77777777" w:rsidR="00D11412" w:rsidRPr="00263137" w:rsidRDefault="00D11412" w:rsidP="00D11412">
                            <w:pPr>
                              <w:ind w:left="708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z= 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mesuré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référence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u(M)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14:paraId="3128135E" w14:textId="77777777" w:rsidR="00D11412" w:rsidRPr="00263137" w:rsidRDefault="00D11412" w:rsidP="00D11412">
                            <w:pPr>
                              <w:ind w:left="708"/>
                              <w:rPr>
                                <w:rFonts w:eastAsiaTheme="minorEastAsia"/>
                              </w:rPr>
                            </w:pPr>
                            <w:r>
                              <w:t>Si z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≥2, alors le résultat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estpas compatible avec la valeur de référence.</m:t>
                              </m:r>
                            </m:oMath>
                          </w:p>
                          <w:p w14:paraId="697BCE68" w14:textId="77777777" w:rsidR="00D11412" w:rsidRPr="00263137" w:rsidRDefault="00D11412" w:rsidP="00D11412">
                            <w:pPr>
                              <w:ind w:left="708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Si z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&lt;2, le résultat est compatible avec la valeur de référence.</m:t>
                              </m:r>
                            </m:oMath>
                          </w:p>
                          <w:p w14:paraId="54CE5DBD" w14:textId="77777777" w:rsidR="00D11412" w:rsidRDefault="00D11412" w:rsidP="00D11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A034E" id="Rectangle : coins arrondis 4" o:spid="_x0000_s1027" style="position:absolute;margin-left:-14.15pt;margin-top:12.85pt;width:520.6pt;height:21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8McggIAADwFAAAOAAAAZHJzL2Uyb0RvYy54bWysVM1u2zAMvg/YOwi6r46zNF2DOkXQosOA&#13;&#10;og3aDj0rspQYk0WNUmJnT7Nn2ZONkh2363IadrFJkR//9FEXl21t2E6hr8AWPD8ZcaashLKy64J/&#13;&#10;fbr58IkzH4QthQGrCr5Xnl/O37+7aNxMjWEDplTIKIj1s8YVfBOCm2WZlxtVC38CTlkyasBaBFJx&#13;&#10;nZUoGopem2w8Gk2zBrB0CFJ5T6fXnZHPU3ytlQz3WnsVmCk41RbSF9N3Fb/Z/ELM1ijcppJ9GeIf&#13;&#10;qqhFZSnpEOpaBMG2WP0Vqq4kggcdTiTUGWhdSZV6oG7y0ZtuHjfCqdQLDce7YUz+/4WVd7slsqos&#13;&#10;+IQzK2q6ogcamrBro379nDEJlfVMIIItK88mcWCN8zPCPbol9ponMXbfaqzjn/pibRryfhiyagOT&#13;&#10;dDid5vnH0Tlnkmzjs+n5aZ6iZi9whz58VlCzKBQcYWvLWFWasNjd+kB5yf/gR0qsqasiSWFvVCzE&#13;&#10;2AelqT3KO07oRCx1ZZDtBFFCSKlsyGNXFC95R5iujBmA+TGgGUC9b4SpRLgBODoG/DPjgEhZwYYB&#13;&#10;XFcW8FiA8tuhXN35H7rveo7th3bVpjtNnvFkBeWe7hmhWwDv5E1Fs70VPiwFEuNpN2iLwz19tIGm&#13;&#10;4NBLnG0Afxw7j/5ERLJy1tAGFdx/3wpUnJkvlih6nk8mceWSMjk9G5OCry2r1xa7ra+AbiSn98LJ&#13;&#10;JEb/YA6iRqifadkXMSuZhJWUu+Ay4EG5Ct1m03Mh1WKR3GjNnAi39tHJGDzOOdLmqX0W6HqCBeLm&#13;&#10;HRy2TczeUKzzjUgLi20AXSX+vcy1vwFa0USj/jmJb8BrPXm9PHrz3wAAAP//AwBQSwMEFAAGAAgA&#13;&#10;AAAhAM13Vp/lAAAAEAEAAA8AAABkcnMvZG93bnJldi54bWxMT01PwkAQvZv4HzZj4g22rYq1dEoM&#13;&#10;0JMkInDwuO0ubaU7W7tLqf/e5aSXSV7mfaaLUbdsUL1tDCGE0wCYotLIhiqEwz6fxMCsEyRFa0gh&#13;&#10;/CgLi+z2JhWJNBf6UMPOVcybkE0EQu1cl3Buy1ppYaemU+R/R9Nr4TzsKy57cfHmuuVREMy4Fg35&#13;&#10;hFp0almr8rQ7a4TvtypfHdex2Bb5Zrn+HKr309cW8f5uXM39eZ0Dc2p0fwq4bvD9IfPFCnMmaVmL&#13;&#10;MIniB09FiJ6egV0JQRi9ACsQHmdhDDxL+f8h2S8AAAD//wMAUEsBAi0AFAAGAAgAAAAhALaDOJL+&#13;&#10;AAAA4QEAABMAAAAAAAAAAAAAAAAAAAAAAFtDb250ZW50X1R5cGVzXS54bWxQSwECLQAUAAYACAAA&#13;&#10;ACEAOP0h/9YAAACUAQAACwAAAAAAAAAAAAAAAAAvAQAAX3JlbHMvLnJlbHNQSwECLQAUAAYACAAA&#13;&#10;ACEAli/DHIICAAA8BQAADgAAAAAAAAAAAAAAAAAuAgAAZHJzL2Uyb0RvYy54bWxQSwECLQAUAAYA&#13;&#10;CAAAACEAzXdWn+UAAAAQAQAADwAAAAAAAAAAAAAAAADcBAAAZHJzL2Rvd25yZXYueG1sUEsFBgAA&#13;&#10;AAAEAAQA8wAAAO4FAAAAAA==&#13;&#10;" fillcolor="white [3201]" strokecolor="#4472c4 [3204]" strokeweight="1pt">
                <v:stroke joinstyle="miter"/>
                <v:textbox>
                  <w:txbxContent>
                    <w:p w14:paraId="1B180F90" w14:textId="77777777" w:rsidR="00D11412" w:rsidRPr="00D11412" w:rsidRDefault="00D11412" w:rsidP="00D11412">
                      <w:pPr>
                        <w:rPr>
                          <w:b/>
                          <w:bCs/>
                        </w:rPr>
                      </w:pPr>
                      <w:r w:rsidRPr="00D11412">
                        <w:rPr>
                          <w:b/>
                          <w:bCs/>
                        </w:rPr>
                        <w:t>Doc.2 Présentation du résultat issu d’une étude statistique et comparaison avec une valeur de référence</w:t>
                      </w:r>
                    </w:p>
                    <w:p w14:paraId="0519B612" w14:textId="77777777" w:rsidR="00D11412" w:rsidRDefault="00D11412" w:rsidP="00D114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Le résultat d’une mesure de la grandeur M s’exprime de la façon suivante : « dans les conditions de l’expérience, avec un échantillon de n mesures, la valeur de la grandeur M s’écrit :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</m:bar>
                      </m:oMath>
                      <w:r>
                        <w:t xml:space="preserve"> =valeur moyenne unité avec une incertitude-type u(M)= valeur unité.</w:t>
                      </w:r>
                    </w:p>
                    <w:p w14:paraId="466A9134" w14:textId="77777777" w:rsidR="00D11412" w:rsidRDefault="00D11412" w:rsidP="00D11412">
                      <w:pPr>
                        <w:ind w:left="708"/>
                      </w:pPr>
                      <w:r>
                        <w:t xml:space="preserve">L’incertitude-type fournit une estimation de l’étendue des valeurs que l’on peut raisonnablement attribuer à la grandeur M. » </w:t>
                      </w:r>
                    </w:p>
                    <w:p w14:paraId="0151485E" w14:textId="77777777" w:rsidR="00D11412" w:rsidRDefault="00D11412" w:rsidP="00D114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 z-score indique si un résultat est compatible avec une valeur de référence.</w:t>
                      </w:r>
                    </w:p>
                    <w:p w14:paraId="2651F4C6" w14:textId="77777777" w:rsidR="00D11412" w:rsidRPr="00263137" w:rsidRDefault="00D11412" w:rsidP="00D11412">
                      <w:pPr>
                        <w:ind w:left="708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z=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mesuré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référence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u(M)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14:paraId="3128135E" w14:textId="77777777" w:rsidR="00D11412" w:rsidRPr="00263137" w:rsidRDefault="00D11412" w:rsidP="00D11412">
                      <w:pPr>
                        <w:ind w:left="708"/>
                        <w:rPr>
                          <w:rFonts w:eastAsiaTheme="minorEastAsia"/>
                        </w:rPr>
                      </w:pPr>
                      <w:r>
                        <w:t>Si z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≥2, alors le résultat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estpas compatible avec la valeur de référence.</m:t>
                        </m:r>
                      </m:oMath>
                    </w:p>
                    <w:p w14:paraId="697BCE68" w14:textId="77777777" w:rsidR="00D11412" w:rsidRPr="00263137" w:rsidRDefault="00D11412" w:rsidP="00D11412">
                      <w:pPr>
                        <w:ind w:left="708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Si z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&lt;2, le résultat est compatible avec la valeur de référence.</m:t>
                        </m:r>
                      </m:oMath>
                    </w:p>
                    <w:p w14:paraId="54CE5DBD" w14:textId="77777777" w:rsidR="00D11412" w:rsidRDefault="00D11412" w:rsidP="00D114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9A3FBB7" w14:textId="51593A39" w:rsidR="00263137" w:rsidRDefault="00263137" w:rsidP="00263137">
      <w:pPr>
        <w:ind w:left="708"/>
        <w:rPr>
          <w:rFonts w:eastAsiaTheme="minorEastAsia"/>
        </w:rPr>
      </w:pPr>
    </w:p>
    <w:p w14:paraId="13E1FF46" w14:textId="06862833" w:rsidR="00D11412" w:rsidRDefault="00D11412" w:rsidP="00263137">
      <w:pPr>
        <w:ind w:left="708"/>
        <w:rPr>
          <w:rFonts w:eastAsiaTheme="minorEastAsia"/>
        </w:rPr>
      </w:pPr>
    </w:p>
    <w:p w14:paraId="1CFCBF99" w14:textId="17DA6180" w:rsidR="00D11412" w:rsidRDefault="00D11412" w:rsidP="00263137">
      <w:pPr>
        <w:ind w:left="708"/>
        <w:rPr>
          <w:rFonts w:eastAsiaTheme="minorEastAsia"/>
        </w:rPr>
      </w:pPr>
    </w:p>
    <w:p w14:paraId="20D3BD29" w14:textId="3D846C1B" w:rsidR="00D11412" w:rsidRDefault="00D11412" w:rsidP="00263137">
      <w:pPr>
        <w:ind w:left="708"/>
        <w:rPr>
          <w:rFonts w:eastAsiaTheme="minorEastAsia"/>
        </w:rPr>
      </w:pPr>
    </w:p>
    <w:p w14:paraId="5D5DD68C" w14:textId="0329C2C0" w:rsidR="00D11412" w:rsidRDefault="00D11412" w:rsidP="00263137">
      <w:pPr>
        <w:ind w:left="708"/>
        <w:rPr>
          <w:rFonts w:eastAsiaTheme="minorEastAsia"/>
        </w:rPr>
      </w:pPr>
    </w:p>
    <w:p w14:paraId="3D215CDA" w14:textId="7447D040" w:rsidR="00D11412" w:rsidRDefault="00D11412" w:rsidP="00263137">
      <w:pPr>
        <w:ind w:left="708"/>
        <w:rPr>
          <w:rFonts w:eastAsiaTheme="minorEastAsia"/>
        </w:rPr>
      </w:pPr>
    </w:p>
    <w:p w14:paraId="01642D15" w14:textId="7B2230C1" w:rsidR="00D11412" w:rsidRDefault="00D11412" w:rsidP="00263137">
      <w:pPr>
        <w:ind w:left="708"/>
        <w:rPr>
          <w:rFonts w:eastAsiaTheme="minorEastAsia"/>
        </w:rPr>
      </w:pPr>
    </w:p>
    <w:p w14:paraId="69B549CF" w14:textId="5ADBA522" w:rsidR="00D11412" w:rsidRDefault="00D11412" w:rsidP="00263137">
      <w:pPr>
        <w:ind w:left="708"/>
        <w:rPr>
          <w:rFonts w:eastAsiaTheme="minorEastAsia"/>
        </w:rPr>
      </w:pPr>
    </w:p>
    <w:p w14:paraId="4B9B5690" w14:textId="2154A243" w:rsidR="00D11412" w:rsidRDefault="00D11412" w:rsidP="00263137">
      <w:pPr>
        <w:ind w:left="708"/>
        <w:rPr>
          <w:rFonts w:eastAsiaTheme="minorEastAsia"/>
        </w:rPr>
      </w:pPr>
    </w:p>
    <w:p w14:paraId="46E1B6E9" w14:textId="5C32E8ED" w:rsidR="00D11412" w:rsidRDefault="00D11412" w:rsidP="00263137">
      <w:pPr>
        <w:ind w:left="708"/>
        <w:rPr>
          <w:rFonts w:eastAsiaTheme="minorEastAsia"/>
        </w:rPr>
      </w:pPr>
    </w:p>
    <w:p w14:paraId="281EB599" w14:textId="3D297ED5" w:rsidR="00D11412" w:rsidRDefault="00D11412" w:rsidP="00263137">
      <w:pPr>
        <w:ind w:left="708"/>
        <w:rPr>
          <w:rFonts w:eastAsiaTheme="minorEastAsia"/>
        </w:rPr>
      </w:pPr>
    </w:p>
    <w:p w14:paraId="7BF37975" w14:textId="468773AA" w:rsidR="00D11412" w:rsidRDefault="00D11412" w:rsidP="00263137">
      <w:pPr>
        <w:ind w:left="708"/>
        <w:rPr>
          <w:rFonts w:eastAsiaTheme="minorEastAsia"/>
        </w:rPr>
      </w:pPr>
    </w:p>
    <w:p w14:paraId="556D2BD4" w14:textId="1974FB34" w:rsidR="00D11412" w:rsidRDefault="00D11412" w:rsidP="00263137">
      <w:pPr>
        <w:ind w:left="708"/>
        <w:rPr>
          <w:rFonts w:eastAsiaTheme="minorEastAsia"/>
        </w:rPr>
      </w:pPr>
    </w:p>
    <w:p w14:paraId="5D8B86DB" w14:textId="405E539E" w:rsidR="00D11412" w:rsidRDefault="00D11412" w:rsidP="00263137">
      <w:pPr>
        <w:ind w:left="708"/>
        <w:rPr>
          <w:rFonts w:eastAsiaTheme="minorEastAsia"/>
        </w:rPr>
      </w:pPr>
    </w:p>
    <w:p w14:paraId="7DBABB1F" w14:textId="5097809E" w:rsidR="00D11412" w:rsidRDefault="00D11412" w:rsidP="00263137">
      <w:pPr>
        <w:ind w:left="708"/>
        <w:rPr>
          <w:rFonts w:eastAsiaTheme="minorEastAsia"/>
        </w:rPr>
      </w:pPr>
    </w:p>
    <w:p w14:paraId="5F2E0DAE" w14:textId="04CFB5B7" w:rsidR="00D11412" w:rsidRDefault="00D11412" w:rsidP="00263137">
      <w:pPr>
        <w:ind w:left="708"/>
        <w:rPr>
          <w:rFonts w:eastAsiaTheme="minorEastAsia"/>
        </w:rPr>
      </w:pPr>
    </w:p>
    <w:p w14:paraId="2F7AD75E" w14:textId="77777777" w:rsidR="00D11412" w:rsidRDefault="00D11412" w:rsidP="00263137">
      <w:pPr>
        <w:ind w:left="708"/>
        <w:rPr>
          <w:rFonts w:eastAsiaTheme="minorEastAsia"/>
        </w:rPr>
      </w:pPr>
    </w:p>
    <w:p w14:paraId="55230207" w14:textId="3604AEE9" w:rsidR="00263137" w:rsidRDefault="00DA4A8F" w:rsidP="00263137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Présenter le résultat obtenu grâce au programme python sous la forme proposée au doc.2. </w:t>
      </w:r>
    </w:p>
    <w:p w14:paraId="43754BBC" w14:textId="2B971A04" w:rsidR="00DA4A8F" w:rsidRPr="00263137" w:rsidRDefault="00DA4A8F" w:rsidP="00263137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Les résultats des expériences réalisées sont-il</w:t>
      </w:r>
      <w:r w:rsidR="00C12B91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C12B91">
        <w:rPr>
          <w:rFonts w:eastAsiaTheme="minorEastAsia"/>
        </w:rPr>
        <w:t>accepta</w:t>
      </w:r>
      <w:r>
        <w:rPr>
          <w:rFonts w:eastAsiaTheme="minorEastAsia"/>
        </w:rPr>
        <w:t>bles ?</w:t>
      </w:r>
    </w:p>
    <w:sectPr w:rsidR="00DA4A8F" w:rsidRPr="00263137" w:rsidSect="00243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2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335" w14:textId="77777777" w:rsidR="009050CB" w:rsidRDefault="009050CB" w:rsidP="0017345C">
      <w:r>
        <w:separator/>
      </w:r>
    </w:p>
  </w:endnote>
  <w:endnote w:type="continuationSeparator" w:id="0">
    <w:p w14:paraId="6022A1F9" w14:textId="77777777" w:rsidR="009050CB" w:rsidRDefault="009050CB" w:rsidP="0017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B0D1" w14:textId="77777777" w:rsidR="00747622" w:rsidRDefault="007476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F73" w14:textId="77777777" w:rsidR="00747622" w:rsidRDefault="007476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A94" w14:textId="77777777" w:rsidR="00747622" w:rsidRDefault="00747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1A39" w14:textId="77777777" w:rsidR="009050CB" w:rsidRDefault="009050CB" w:rsidP="0017345C">
      <w:r>
        <w:separator/>
      </w:r>
    </w:p>
  </w:footnote>
  <w:footnote w:type="continuationSeparator" w:id="0">
    <w:p w14:paraId="0985305B" w14:textId="77777777" w:rsidR="009050CB" w:rsidRDefault="009050CB" w:rsidP="0017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FD27" w14:textId="77777777" w:rsidR="00747622" w:rsidRDefault="007476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F62" w14:textId="469CB0A8" w:rsidR="0017345C" w:rsidRPr="002439C2" w:rsidRDefault="0017345C">
    <w:pPr>
      <w:pStyle w:val="En-tte"/>
      <w:rPr>
        <w:sz w:val="20"/>
        <w:szCs w:val="20"/>
      </w:rPr>
    </w:pPr>
    <w:r w:rsidRPr="002439C2">
      <w:rPr>
        <w:sz w:val="20"/>
        <w:szCs w:val="20"/>
      </w:rPr>
      <w:t>Niveau 1</w:t>
    </w:r>
    <w:r w:rsidRPr="002439C2">
      <w:rPr>
        <w:sz w:val="20"/>
        <w:szCs w:val="20"/>
        <w:vertAlign w:val="superscript"/>
      </w:rPr>
      <w:t>ère</w:t>
    </w:r>
    <w:r w:rsidRPr="002439C2">
      <w:rPr>
        <w:sz w:val="20"/>
        <w:szCs w:val="20"/>
      </w:rPr>
      <w:t xml:space="preserve"> spécialité                       thème : </w:t>
    </w:r>
    <w:r w:rsidR="002439C2" w:rsidRPr="002439C2">
      <w:rPr>
        <w:sz w:val="20"/>
        <w:szCs w:val="20"/>
      </w:rPr>
      <w:t>Ondes et signaux</w:t>
    </w:r>
    <w:r w:rsidR="00747622">
      <w:rPr>
        <w:sz w:val="20"/>
        <w:szCs w:val="20"/>
      </w:rPr>
      <w:t xml:space="preserve">                            Nom :                                               Prénom : </w:t>
    </w:r>
  </w:p>
  <w:p w14:paraId="07ADCE0F" w14:textId="77777777" w:rsidR="0017345C" w:rsidRDefault="001734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B02E" w14:textId="77777777" w:rsidR="00747622" w:rsidRDefault="007476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410"/>
    <w:multiLevelType w:val="hybridMultilevel"/>
    <w:tmpl w:val="9244CBE4"/>
    <w:lvl w:ilvl="0" w:tplc="A6E414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6DC"/>
    <w:multiLevelType w:val="hybridMultilevel"/>
    <w:tmpl w:val="FB465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D8"/>
    <w:rsid w:val="00037F1D"/>
    <w:rsid w:val="00082508"/>
    <w:rsid w:val="0013236A"/>
    <w:rsid w:val="00133E4A"/>
    <w:rsid w:val="0017345C"/>
    <w:rsid w:val="002439C2"/>
    <w:rsid w:val="00263137"/>
    <w:rsid w:val="003B6BB4"/>
    <w:rsid w:val="00426047"/>
    <w:rsid w:val="00493EE3"/>
    <w:rsid w:val="004B4593"/>
    <w:rsid w:val="004B55D8"/>
    <w:rsid w:val="004D2AD1"/>
    <w:rsid w:val="004F6460"/>
    <w:rsid w:val="00557A18"/>
    <w:rsid w:val="005E2261"/>
    <w:rsid w:val="00673335"/>
    <w:rsid w:val="00747622"/>
    <w:rsid w:val="007955E9"/>
    <w:rsid w:val="00811604"/>
    <w:rsid w:val="008424BC"/>
    <w:rsid w:val="00863C36"/>
    <w:rsid w:val="009050CB"/>
    <w:rsid w:val="00A176DE"/>
    <w:rsid w:val="00B94915"/>
    <w:rsid w:val="00BF2438"/>
    <w:rsid w:val="00C12B91"/>
    <w:rsid w:val="00D11412"/>
    <w:rsid w:val="00DA4A8F"/>
    <w:rsid w:val="00E262D0"/>
    <w:rsid w:val="00E40E62"/>
    <w:rsid w:val="00E9310B"/>
    <w:rsid w:val="00F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2AD1"/>
  <w15:chartTrackingRefBased/>
  <w15:docId w15:val="{2B6244E0-EE94-A140-B7F0-0FCC11C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62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3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45C"/>
  </w:style>
  <w:style w:type="paragraph" w:styleId="Pieddepage">
    <w:name w:val="footer"/>
    <w:basedOn w:val="Normal"/>
    <w:link w:val="PieddepageCar"/>
    <w:uiPriority w:val="99"/>
    <w:unhideWhenUsed/>
    <w:rsid w:val="00173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45C"/>
  </w:style>
  <w:style w:type="character" w:styleId="Textedelespacerserv">
    <w:name w:val="Placeholder Text"/>
    <w:basedOn w:val="Policepardfaut"/>
    <w:uiPriority w:val="99"/>
    <w:semiHidden/>
    <w:rsid w:val="00263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2022-03-13T16:45:00Z</dcterms:created>
  <dcterms:modified xsi:type="dcterms:W3CDTF">2022-04-10T14:53:00Z</dcterms:modified>
</cp:coreProperties>
</file>