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7071" w:rsidP="004D7071" w:rsidRDefault="004D7071" w14:paraId="6AA4D261" w14:textId="77777777">
      <w:pPr>
        <w:spacing w:line="257" w:lineRule="auto"/>
        <w:jc w:val="center"/>
        <w:rPr>
          <w:rFonts w:ascii="Calibri" w:hAnsi="Calibri" w:eastAsia="Calibri" w:cs="Calibri"/>
          <w:sz w:val="28"/>
          <w:szCs w:val="28"/>
        </w:rPr>
      </w:pPr>
    </w:p>
    <w:p w:rsidRPr="00F72F46" w:rsidR="004017CA" w:rsidP="00F72F46" w:rsidRDefault="00F72F46" w14:paraId="60491FA0" w14:textId="5EA23C52">
      <w:pPr>
        <w:pBdr>
          <w:bottom w:val="single" w:color="auto" w:sz="4" w:space="1"/>
        </w:pBdr>
        <w:spacing w:line="257" w:lineRule="auto"/>
        <w:jc w:val="center"/>
        <w:rPr>
          <w:rFonts w:ascii="Agency FB" w:hAnsi="Agency FB" w:eastAsia="Calibri" w:cs="Calibri"/>
          <w:b/>
          <w:bCs/>
          <w:sz w:val="32"/>
          <w:szCs w:val="32"/>
        </w:rPr>
      </w:pPr>
      <w:r>
        <w:rPr>
          <w:rFonts w:ascii="Agency FB" w:hAnsi="Agency FB" w:eastAsia="Calibri" w:cs="Calibri"/>
          <w:b/>
          <w:bCs/>
          <w:sz w:val="32"/>
          <w:szCs w:val="32"/>
        </w:rPr>
        <w:t>JEU DE PLATEAU</w:t>
      </w:r>
      <w:r w:rsidRPr="00F72F46" w:rsidR="775BD6EE">
        <w:rPr>
          <w:rFonts w:ascii="Agency FB" w:hAnsi="Agency FB" w:eastAsia="Calibri" w:cs="Calibri"/>
          <w:b/>
          <w:bCs/>
          <w:sz w:val="32"/>
          <w:szCs w:val="32"/>
        </w:rPr>
        <w:t xml:space="preserve"> :</w:t>
      </w:r>
      <w:proofErr w:type="gramStart"/>
      <w:r w:rsidRPr="00F72F46" w:rsidR="775BD6EE">
        <w:rPr>
          <w:rFonts w:ascii="Agency FB" w:hAnsi="Agency FB" w:eastAsia="Calibri" w:cs="Calibri"/>
          <w:b/>
          <w:bCs/>
          <w:sz w:val="32"/>
          <w:szCs w:val="32"/>
        </w:rPr>
        <w:t xml:space="preserve"> </w:t>
      </w:r>
      <w:r w:rsidRPr="00F72F46" w:rsidR="004D7071">
        <w:rPr>
          <w:rFonts w:ascii="Agency FB" w:hAnsi="Agency FB" w:cs="Calibri"/>
          <w:b/>
          <w:bCs/>
          <w:sz w:val="32"/>
          <w:szCs w:val="32"/>
        </w:rPr>
        <w:t>«</w:t>
      </w:r>
      <w:r w:rsidRPr="00F72F46" w:rsidR="0086445D">
        <w:rPr>
          <w:rFonts w:ascii="Agency FB" w:hAnsi="Agency FB" w:eastAsia="Calibri" w:cs="Calibri"/>
          <w:b/>
          <w:bCs/>
          <w:sz w:val="32"/>
          <w:szCs w:val="32"/>
        </w:rPr>
        <w:t>DILU</w:t>
      </w:r>
      <w:proofErr w:type="gramEnd"/>
      <w:r w:rsidRPr="00F72F46" w:rsidR="0086445D">
        <w:rPr>
          <w:rFonts w:ascii="Agency FB" w:hAnsi="Agency FB" w:eastAsia="Calibri" w:cs="Calibri"/>
          <w:b/>
          <w:bCs/>
          <w:sz w:val="32"/>
          <w:szCs w:val="32"/>
        </w:rPr>
        <w:t>-D</w:t>
      </w:r>
      <w:r w:rsidRPr="00F72F46">
        <w:rPr>
          <w:rFonts w:ascii="Agency FB" w:hAnsi="Agency FB" w:eastAsia="Calibri" w:cs="Calibri"/>
          <w:b/>
          <w:bCs/>
          <w:sz w:val="32"/>
          <w:szCs w:val="32"/>
        </w:rPr>
        <w:t>É</w:t>
      </w:r>
      <w:r w:rsidRPr="00F72F46" w:rsidR="0086445D">
        <w:rPr>
          <w:rFonts w:ascii="Agency FB" w:hAnsi="Agency FB" w:eastAsia="Calibri" w:cs="Calibri"/>
          <w:b/>
          <w:bCs/>
          <w:sz w:val="32"/>
          <w:szCs w:val="32"/>
        </w:rPr>
        <w:t>FI</w:t>
      </w:r>
      <w:r w:rsidRPr="00F72F46" w:rsidR="00D928B5">
        <w:rPr>
          <w:rFonts w:ascii="Agency FB" w:hAnsi="Agency FB" w:eastAsia="Calibri" w:cs="Calibri"/>
          <w:b/>
          <w:bCs/>
          <w:sz w:val="32"/>
          <w:szCs w:val="32"/>
        </w:rPr>
        <w:t>S</w:t>
      </w:r>
      <w:r w:rsidRPr="00F72F46" w:rsidR="004D7071">
        <w:rPr>
          <w:rFonts w:ascii="Agency FB" w:hAnsi="Agency FB" w:eastAsia="Calibri" w:cs="Calibri"/>
          <w:b/>
          <w:bCs/>
          <w:sz w:val="32"/>
          <w:szCs w:val="32"/>
        </w:rPr>
        <w:t>»</w:t>
      </w:r>
    </w:p>
    <w:p w:rsidRPr="00F72F46" w:rsidR="00F72F46" w:rsidP="00F72F46" w:rsidRDefault="00F72F46" w14:paraId="6BCA61C6" w14:textId="77777777">
      <w:pPr>
        <w:spacing w:before="240" w:after="147"/>
        <w:jc w:val="center"/>
        <w:rPr>
          <w:rFonts w:ascii="Agency FB" w:hAnsi="Agency FB" w:eastAsia="Agency FB" w:cs="Agency FB"/>
          <w:b/>
          <w:bCs/>
          <w:sz w:val="2"/>
          <w:szCs w:val="2"/>
        </w:rPr>
      </w:pPr>
    </w:p>
    <w:p w:rsidR="00F72F46" w:rsidP="00F72F46" w:rsidRDefault="00F72F46" w14:paraId="2D4B1816" w14:textId="3EC37774">
      <w:pPr>
        <w:spacing w:before="240" w:after="147"/>
        <w:jc w:val="center"/>
        <w:rPr>
          <w:rFonts w:ascii="Agency FB" w:hAnsi="Agency FB" w:eastAsia="Agency FB" w:cs="Agency FB"/>
          <w:b/>
          <w:bCs/>
          <w:sz w:val="32"/>
          <w:szCs w:val="32"/>
        </w:rPr>
      </w:pPr>
      <w:r w:rsidRPr="30173C53">
        <w:rPr>
          <w:rFonts w:ascii="Agency FB" w:hAnsi="Agency FB" w:eastAsia="Agency FB" w:cs="Agency FB"/>
          <w:b/>
          <w:bCs/>
          <w:sz w:val="32"/>
          <w:szCs w:val="32"/>
        </w:rPr>
        <w:t>Présentation de la ressource</w:t>
      </w:r>
    </w:p>
    <w:p w:rsidRPr="00F72F46" w:rsidR="000706C5" w:rsidP="00F72F46" w:rsidRDefault="00F72F46" w14:paraId="397EEEC8" w14:textId="4399225B">
      <w:pPr>
        <w:spacing w:after="0" w:line="240" w:lineRule="auto"/>
        <w:rPr>
          <w:rFonts w:ascii="Calibri" w:hAnsi="Calibri" w:cs="Calibri"/>
        </w:rPr>
      </w:pPr>
      <w:r w:rsidRPr="00F72F46">
        <w:rPr>
          <w:rFonts w:ascii="Calibri" w:hAnsi="Calibri" w:cs="Calibri"/>
        </w:rPr>
        <w:t xml:space="preserve">Cette ressource propose un jeu de plateau qui permet </w:t>
      </w:r>
      <w:r w:rsidR="00DE22F2">
        <w:rPr>
          <w:rFonts w:ascii="Calibri" w:hAnsi="Calibri" w:cs="Calibri"/>
        </w:rPr>
        <w:t xml:space="preserve">aux élèves </w:t>
      </w:r>
      <w:r w:rsidRPr="00F72F46">
        <w:rPr>
          <w:rFonts w:ascii="Calibri" w:hAnsi="Calibri" w:cs="Calibri"/>
        </w:rPr>
        <w:t xml:space="preserve">de </w:t>
      </w:r>
      <w:r w:rsidR="00DE22F2">
        <w:rPr>
          <w:rFonts w:ascii="Calibri" w:hAnsi="Calibri" w:cs="Calibri"/>
        </w:rPr>
        <w:t>réviser</w:t>
      </w:r>
      <w:r w:rsidRPr="00F72F46">
        <w:rPr>
          <w:rFonts w:ascii="Calibri" w:hAnsi="Calibri" w:cs="Calibri"/>
        </w:rPr>
        <w:t xml:space="preserve"> le concept de dilution de manière ludique, en équipe ou individuellement.</w:t>
      </w:r>
    </w:p>
    <w:p w:rsidRPr="00913F6A" w:rsidR="0010615F" w:rsidP="0010615F" w:rsidRDefault="0010615F" w14:paraId="24C48600" w14:textId="77777777">
      <w:pPr>
        <w:spacing w:after="0" w:line="240" w:lineRule="auto"/>
        <w:rPr>
          <w:rFonts w:ascii="Calibri" w:hAnsi="Calibri" w:cs="Calibri"/>
          <w:b/>
          <w:bCs/>
          <w:sz w:val="18"/>
          <w:szCs w:val="18"/>
        </w:rPr>
      </w:pPr>
    </w:p>
    <w:tbl>
      <w:tblPr>
        <w:tblStyle w:val="Grilledutableau"/>
        <w:tblpPr w:leftFromText="141" w:rightFromText="141" w:vertAnchor="text" w:horzAnchor="margin" w:tblpY="-52"/>
        <w:tblW w:w="9116" w:type="dxa"/>
        <w:tblLayout w:type="fixed"/>
        <w:tblLook w:val="04A0" w:firstRow="1" w:lastRow="0" w:firstColumn="1" w:lastColumn="0" w:noHBand="0" w:noVBand="1"/>
      </w:tblPr>
      <w:tblGrid>
        <w:gridCol w:w="3109"/>
        <w:gridCol w:w="6007"/>
      </w:tblGrid>
      <w:tr w:rsidRPr="0010615F" w:rsidR="00D928B5" w:rsidTr="00DE22F2" w14:paraId="0E038CDD" w14:textId="77777777">
        <w:trPr>
          <w:trHeight w:val="336"/>
        </w:trPr>
        <w:tc>
          <w:tcPr>
            <w:tcW w:w="31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10615F" w:rsidR="00D928B5" w:rsidP="00D928B5" w:rsidRDefault="00D928B5" w14:paraId="7F4B9139" w14:textId="77777777">
            <w:pPr>
              <w:rPr>
                <w:b/>
                <w:bCs/>
              </w:rPr>
            </w:pPr>
            <w:r w:rsidRPr="0010615F">
              <w:rPr>
                <w:rFonts w:ascii="Calibri" w:hAnsi="Calibri" w:eastAsia="Calibri" w:cs="Calibri"/>
                <w:b/>
                <w:bCs/>
              </w:rPr>
              <w:t>Public visé</w:t>
            </w:r>
          </w:p>
        </w:tc>
        <w:tc>
          <w:tcPr>
            <w:tcW w:w="6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10615F" w:rsidR="00D928B5" w:rsidP="00D928B5" w:rsidRDefault="00D928B5" w14:paraId="110F2B79" w14:textId="77777777">
            <w:pPr>
              <w:rPr>
                <w:b/>
                <w:bCs/>
              </w:rPr>
            </w:pPr>
            <w:r w:rsidRPr="0010615F">
              <w:rPr>
                <w:rFonts w:ascii="Calibri" w:hAnsi="Calibri" w:eastAsia="Calibri" w:cs="Calibri"/>
                <w:b/>
                <w:bCs/>
              </w:rPr>
              <w:t>Objectif de la ressource</w:t>
            </w:r>
          </w:p>
        </w:tc>
      </w:tr>
      <w:tr w:rsidRPr="0010615F" w:rsidR="00D928B5" w:rsidTr="00DE22F2" w14:paraId="2DE05BDF" w14:textId="77777777">
        <w:trPr>
          <w:trHeight w:val="336"/>
        </w:trPr>
        <w:tc>
          <w:tcPr>
            <w:tcW w:w="31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10615F" w:rsidR="00D928B5" w:rsidP="00D928B5" w:rsidRDefault="00D928B5" w14:paraId="393FADD6" w14:textId="77777777">
            <w:r w:rsidRPr="0010615F">
              <w:rPr>
                <w:rFonts w:ascii="Calibri" w:hAnsi="Calibri" w:eastAsia="Calibri" w:cs="Calibri"/>
              </w:rPr>
              <w:t>2nde</w:t>
            </w:r>
          </w:p>
        </w:tc>
        <w:tc>
          <w:tcPr>
            <w:tcW w:w="6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10615F" w:rsidR="00D928B5" w:rsidP="00D928B5" w:rsidRDefault="00DE22F2" w14:paraId="5AFCC362" w14:textId="702590B8">
            <w:r>
              <w:rPr>
                <w:rFonts w:ascii="Calibri" w:hAnsi="Calibri" w:eastAsia="Calibri" w:cs="Calibri"/>
              </w:rPr>
              <w:t>É</w:t>
            </w:r>
            <w:r w:rsidRPr="0010615F" w:rsidR="00D928B5">
              <w:rPr>
                <w:rFonts w:ascii="Calibri" w:hAnsi="Calibri" w:eastAsia="Calibri" w:cs="Calibri"/>
              </w:rPr>
              <w:t>valuation formative ou remédiation</w:t>
            </w:r>
          </w:p>
        </w:tc>
      </w:tr>
      <w:tr w:rsidRPr="0010615F" w:rsidR="00D928B5" w:rsidTr="00DE22F2" w14:paraId="06DB4971" w14:textId="77777777">
        <w:trPr>
          <w:trHeight w:val="336"/>
        </w:trPr>
        <w:tc>
          <w:tcPr>
            <w:tcW w:w="31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10615F" w:rsidR="00D928B5" w:rsidP="00D928B5" w:rsidRDefault="00DE22F2" w14:paraId="1331489D" w14:textId="65ADC794">
            <w:r w:rsidRPr="30173C53">
              <w:rPr>
                <w:rFonts w:ascii="Calibri" w:hAnsi="Calibri" w:eastAsia="Calibri" w:cs="Calibri"/>
              </w:rPr>
              <w:t>Spécialité 1ere et Terminale</w:t>
            </w:r>
          </w:p>
        </w:tc>
        <w:tc>
          <w:tcPr>
            <w:tcW w:w="60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10615F" w:rsidR="00D928B5" w:rsidP="00D928B5" w:rsidRDefault="00DE22F2" w14:paraId="64BB7744" w14:textId="603A2B5B">
            <w:r>
              <w:rPr>
                <w:rFonts w:ascii="Calibri" w:hAnsi="Calibri" w:eastAsia="Calibri" w:cs="Calibri"/>
              </w:rPr>
              <w:t>É</w:t>
            </w:r>
            <w:r w:rsidRPr="0010615F" w:rsidR="00D928B5">
              <w:rPr>
                <w:rFonts w:ascii="Calibri" w:hAnsi="Calibri" w:eastAsia="Calibri" w:cs="Calibri"/>
              </w:rPr>
              <w:t xml:space="preserve">valuation diagnostique </w:t>
            </w:r>
          </w:p>
        </w:tc>
      </w:tr>
    </w:tbl>
    <w:p w:rsidRPr="00DE22F2" w:rsidR="000706C5" w:rsidP="0010615F" w:rsidRDefault="00F72F46" w14:paraId="384B4ADD" w14:textId="694C7DAE">
      <w:pPr>
        <w:spacing w:after="0" w:line="240" w:lineRule="auto"/>
        <w:rPr>
          <w:rFonts w:ascii="Calibri" w:hAnsi="Calibri" w:cs="Calibri"/>
          <w:u w:val="single"/>
        </w:rPr>
      </w:pPr>
      <w:r w:rsidRPr="00DE22F2">
        <w:rPr>
          <w:rFonts w:ascii="Calibri" w:hAnsi="Calibri" w:cs="Calibri"/>
          <w:u w:val="single"/>
        </w:rPr>
        <w:t xml:space="preserve">Matériel : </w:t>
      </w:r>
    </w:p>
    <w:p w:rsidRPr="00F72F46" w:rsidR="00F72F46" w:rsidP="00F72F46" w:rsidRDefault="00F72F46" w14:paraId="2CC2A854" w14:textId="4270E009">
      <w:pPr>
        <w:pStyle w:val="Paragraphedeliste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F72F46">
        <w:rPr>
          <w:rFonts w:ascii="Calibri" w:hAnsi="Calibri" w:cs="Calibri"/>
        </w:rPr>
        <w:t>Le plateau (en version imprimable en annexe)</w:t>
      </w:r>
    </w:p>
    <w:p w:rsidRPr="00F72F46" w:rsidR="00F72F46" w:rsidP="00F72F46" w:rsidRDefault="00F72F46" w14:paraId="2D270FB0" w14:textId="0CA80D83">
      <w:pPr>
        <w:pStyle w:val="Paragraphedeliste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F72F46">
        <w:rPr>
          <w:rFonts w:ascii="Calibri" w:hAnsi="Calibri" w:cs="Calibri"/>
        </w:rPr>
        <w:t>Les cartes (en version imprimable en annexe)</w:t>
      </w:r>
    </w:p>
    <w:p w:rsidRPr="00F72F46" w:rsidR="00F72F46" w:rsidP="00F72F46" w:rsidRDefault="00F72F46" w14:paraId="7839655C" w14:textId="7A5922CD">
      <w:pPr>
        <w:pStyle w:val="Paragraphedeliste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F72F46">
        <w:rPr>
          <w:rFonts w:ascii="Calibri" w:hAnsi="Calibri" w:cs="Calibri"/>
        </w:rPr>
        <w:t>Des pions</w:t>
      </w:r>
    </w:p>
    <w:p w:rsidRPr="00F72F46" w:rsidR="004D7071" w:rsidP="0010615F" w:rsidRDefault="004D7071" w14:paraId="7A5DD672" w14:textId="77777777">
      <w:pPr>
        <w:spacing w:after="0" w:line="240" w:lineRule="auto"/>
        <w:rPr>
          <w:rFonts w:ascii="Calibri" w:hAnsi="Calibri" w:cs="Calibri"/>
          <w:sz w:val="6"/>
          <w:szCs w:val="6"/>
        </w:rPr>
      </w:pPr>
    </w:p>
    <w:p w:rsidR="00F72F46" w:rsidP="00F72F46" w:rsidRDefault="00F72F46" w14:paraId="7840DECC" w14:textId="77777777">
      <w:pPr>
        <w:jc w:val="center"/>
        <w:rPr>
          <w:rFonts w:ascii="Agency FB" w:hAnsi="Agency FB" w:eastAsia="Agency FB" w:cs="Agency FB"/>
          <w:sz w:val="32"/>
          <w:szCs w:val="32"/>
        </w:rPr>
      </w:pPr>
      <w:r w:rsidRPr="0BCE2295">
        <w:rPr>
          <w:rFonts w:ascii="Agency FB" w:hAnsi="Agency FB" w:eastAsia="Agency FB" w:cs="Agency FB"/>
          <w:b/>
          <w:bCs/>
          <w:color w:val="000000" w:themeColor="text1"/>
          <w:sz w:val="32"/>
          <w:szCs w:val="32"/>
        </w:rPr>
        <w:t>Quel intérêt pédagogique ?</w:t>
      </w:r>
    </w:p>
    <w:p w:rsidRPr="004D7071" w:rsidR="00F72F46" w:rsidP="00F72F46" w:rsidRDefault="00F72F46" w14:paraId="6BDA2764" w14:textId="4A301AC1">
      <w:pPr>
        <w:spacing w:after="0" w:line="240" w:lineRule="auto"/>
        <w:rPr>
          <w:rFonts w:ascii="Calibri" w:hAnsi="Calibri" w:cs="Calibri"/>
        </w:rPr>
      </w:pPr>
      <w:r w:rsidRPr="004D7071">
        <w:rPr>
          <w:rFonts w:ascii="Calibri" w:hAnsi="Calibri" w:cs="Calibri"/>
        </w:rPr>
        <w:t>C</w:t>
      </w:r>
      <w:r w:rsidR="00DE22F2">
        <w:rPr>
          <w:rFonts w:ascii="Calibri" w:hAnsi="Calibri" w:cs="Calibri"/>
        </w:rPr>
        <w:t xml:space="preserve">e jeu de plateau a pour vocation de </w:t>
      </w:r>
      <w:r w:rsidRPr="004D7071">
        <w:rPr>
          <w:rFonts w:ascii="Calibri" w:hAnsi="Calibri" w:cs="Calibri"/>
        </w:rPr>
        <w:t>rend</w:t>
      </w:r>
      <w:r w:rsidR="00DE22F2">
        <w:rPr>
          <w:rFonts w:ascii="Calibri" w:hAnsi="Calibri" w:cs="Calibri"/>
        </w:rPr>
        <w:t>re</w:t>
      </w:r>
      <w:r w:rsidRPr="004D7071">
        <w:rPr>
          <w:rFonts w:ascii="Calibri" w:hAnsi="Calibri" w:cs="Calibri"/>
        </w:rPr>
        <w:t xml:space="preserve"> l'apprentissage amusant</w:t>
      </w:r>
      <w:r w:rsidR="00DE22F2">
        <w:rPr>
          <w:rFonts w:ascii="Calibri" w:hAnsi="Calibri" w:cs="Calibri"/>
        </w:rPr>
        <w:t>,</w:t>
      </w:r>
      <w:r w:rsidRPr="004D7071">
        <w:rPr>
          <w:rFonts w:ascii="Calibri" w:hAnsi="Calibri" w:cs="Calibri"/>
        </w:rPr>
        <w:t xml:space="preserve"> </w:t>
      </w:r>
      <w:r w:rsidR="00DE22F2">
        <w:rPr>
          <w:rFonts w:ascii="Calibri" w:hAnsi="Calibri" w:cs="Calibri"/>
        </w:rPr>
        <w:t>pour favoriser</w:t>
      </w:r>
      <w:r w:rsidRPr="004D7071">
        <w:rPr>
          <w:rFonts w:ascii="Calibri" w:hAnsi="Calibri" w:cs="Calibri"/>
        </w:rPr>
        <w:t xml:space="preserve"> </w:t>
      </w:r>
      <w:proofErr w:type="gramStart"/>
      <w:r w:rsidRPr="004D7071">
        <w:rPr>
          <w:rFonts w:ascii="Calibri" w:hAnsi="Calibri" w:cs="Calibri"/>
        </w:rPr>
        <w:t>l'engagement</w:t>
      </w:r>
      <w:proofErr w:type="gramEnd"/>
      <w:r w:rsidRPr="004D7071">
        <w:rPr>
          <w:rFonts w:ascii="Calibri" w:hAnsi="Calibri" w:cs="Calibri"/>
        </w:rPr>
        <w:t xml:space="preserve"> des élève</w:t>
      </w:r>
      <w:r w:rsidR="00DE22F2">
        <w:rPr>
          <w:rFonts w:ascii="Calibri" w:hAnsi="Calibri" w:cs="Calibri"/>
        </w:rPr>
        <w:t>s, et collaboratif, pour favoriser les échanges et explications entre pairs. Ce jeu se veut être une activité dans la classe traitée en autonomie.</w:t>
      </w:r>
    </w:p>
    <w:p w:rsidRPr="00913F6A" w:rsidR="00DE22F2" w:rsidP="00F72F46" w:rsidRDefault="00DE22F2" w14:paraId="2AEBCF84" w14:textId="77777777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:rsidRPr="004D7071" w:rsidR="00913F6A" w:rsidP="00913F6A" w:rsidRDefault="00DE22F2" w14:paraId="662C2018" w14:textId="5E91F5B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En fonction du moment de </w:t>
      </w:r>
      <w:r w:rsidR="00913F6A">
        <w:rPr>
          <w:rFonts w:ascii="Calibri" w:hAnsi="Calibri" w:cs="Calibri"/>
        </w:rPr>
        <w:t>l</w:t>
      </w:r>
      <w:r>
        <w:rPr>
          <w:rFonts w:ascii="Calibri" w:hAnsi="Calibri" w:cs="Calibri"/>
        </w:rPr>
        <w:t>eur apprentissage</w:t>
      </w:r>
      <w:r w:rsidR="0000455A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ce jeu </w:t>
      </w:r>
      <w:r w:rsidRPr="004D7071" w:rsidR="00F72F46">
        <w:rPr>
          <w:rFonts w:ascii="Calibri" w:hAnsi="Calibri" w:cs="Calibri"/>
        </w:rPr>
        <w:t xml:space="preserve">permettra aux élèves </w:t>
      </w:r>
      <w:r w:rsidR="00913F6A">
        <w:rPr>
          <w:rFonts w:ascii="Calibri" w:hAnsi="Calibri" w:cs="Calibri"/>
        </w:rPr>
        <w:t xml:space="preserve">de </w:t>
      </w:r>
      <w:r w:rsidRPr="004D7071" w:rsidR="00F72F46">
        <w:rPr>
          <w:rFonts w:ascii="Calibri" w:hAnsi="Calibri" w:cs="Calibri"/>
        </w:rPr>
        <w:t xml:space="preserve">consolider </w:t>
      </w:r>
      <w:r>
        <w:rPr>
          <w:rFonts w:ascii="Calibri" w:hAnsi="Calibri" w:cs="Calibri"/>
        </w:rPr>
        <w:t xml:space="preserve">ou </w:t>
      </w:r>
      <w:r w:rsidR="00913F6A">
        <w:rPr>
          <w:rFonts w:ascii="Calibri" w:hAnsi="Calibri" w:cs="Calibri"/>
        </w:rPr>
        <w:t xml:space="preserve">de </w:t>
      </w:r>
      <w:r>
        <w:rPr>
          <w:rFonts w:ascii="Calibri" w:hAnsi="Calibri" w:cs="Calibri"/>
        </w:rPr>
        <w:t xml:space="preserve">réactiver </w:t>
      </w:r>
      <w:r w:rsidRPr="004D7071" w:rsidR="00F72F46">
        <w:rPr>
          <w:rFonts w:ascii="Calibri" w:hAnsi="Calibri" w:cs="Calibri"/>
        </w:rPr>
        <w:t>les connaissances</w:t>
      </w:r>
      <w:r w:rsidR="00913F6A">
        <w:rPr>
          <w:rFonts w:ascii="Calibri" w:hAnsi="Calibri" w:cs="Calibri"/>
        </w:rPr>
        <w:t>, de permettre une évaluation ou auto-évaluation diagnostique</w:t>
      </w:r>
      <w:r w:rsidRPr="004D7071" w:rsidR="00F72F46">
        <w:rPr>
          <w:rFonts w:ascii="Calibri" w:hAnsi="Calibri" w:cs="Calibri"/>
        </w:rPr>
        <w:t xml:space="preserve"> sur </w:t>
      </w:r>
      <w:r w:rsidR="00913F6A">
        <w:rPr>
          <w:rFonts w:ascii="Calibri" w:hAnsi="Calibri" w:cs="Calibri"/>
        </w:rPr>
        <w:t>l</w:t>
      </w:r>
      <w:r w:rsidRPr="004D7071" w:rsidR="00F72F46">
        <w:rPr>
          <w:rFonts w:ascii="Calibri" w:hAnsi="Calibri" w:cs="Calibri"/>
        </w:rPr>
        <w:t xml:space="preserve">e concept </w:t>
      </w:r>
      <w:r w:rsidRPr="004D7071" w:rsidR="00913F6A">
        <w:rPr>
          <w:rFonts w:ascii="Calibri" w:hAnsi="Calibri" w:cs="Calibri"/>
        </w:rPr>
        <w:t>essentiel</w:t>
      </w:r>
      <w:r w:rsidR="00913F6A">
        <w:rPr>
          <w:rFonts w:ascii="Calibri" w:hAnsi="Calibri" w:cs="Calibri"/>
        </w:rPr>
        <w:t xml:space="preserve"> de dilution</w:t>
      </w:r>
      <w:r w:rsidR="00F772F5">
        <w:rPr>
          <w:rFonts w:ascii="Calibri" w:hAnsi="Calibri" w:cs="Calibri"/>
        </w:rPr>
        <w:t xml:space="preserve"> en spécialité</w:t>
      </w:r>
      <w:r w:rsidRPr="004D7071" w:rsidR="00F72F46">
        <w:rPr>
          <w:rFonts w:ascii="Calibri" w:hAnsi="Calibri" w:cs="Calibri"/>
        </w:rPr>
        <w:t>.</w:t>
      </w:r>
      <w:r w:rsidR="00913F6A">
        <w:rPr>
          <w:rFonts w:ascii="Calibri" w:hAnsi="Calibri" w:cs="Calibri"/>
        </w:rPr>
        <w:t xml:space="preserve"> </w:t>
      </w:r>
      <w:r w:rsidRPr="004D7071" w:rsidR="00913F6A">
        <w:rPr>
          <w:rFonts w:ascii="Calibri" w:hAnsi="Calibri" w:cs="Calibri"/>
        </w:rPr>
        <w:t xml:space="preserve">Le jeu encourage la coopération et la compétition saine </w:t>
      </w:r>
      <w:r w:rsidR="00913F6A">
        <w:rPr>
          <w:rFonts w:ascii="Calibri" w:hAnsi="Calibri" w:cs="Calibri"/>
        </w:rPr>
        <w:t xml:space="preserve">et ludique </w:t>
      </w:r>
      <w:r w:rsidRPr="004D7071" w:rsidR="00913F6A">
        <w:rPr>
          <w:rFonts w:ascii="Calibri" w:hAnsi="Calibri" w:cs="Calibri"/>
        </w:rPr>
        <w:t>entre les équipes, renforçant ainsi l'esprit d'équipe.</w:t>
      </w:r>
    </w:p>
    <w:p w:rsidRPr="00F72F46" w:rsidR="00F72F46" w:rsidP="5579881D" w:rsidRDefault="00F72F46" w14:paraId="341B919F" w14:textId="0D119A2A">
      <w:pPr>
        <w:pStyle w:val="Normal"/>
        <w:spacing w:after="0" w:line="240" w:lineRule="auto"/>
        <w:rPr>
          <w:rFonts w:ascii="Calibri" w:hAnsi="Calibri" w:cs="Calibri"/>
        </w:rPr>
      </w:pPr>
    </w:p>
    <w:p w:rsidRPr="004D7071" w:rsidR="00F72F46" w:rsidP="00F72F46" w:rsidRDefault="00F72F46" w14:paraId="4AE734BA" w14:textId="6BDE4CAB">
      <w:pPr>
        <w:spacing w:line="257" w:lineRule="auto"/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Pr="004D7071">
        <w:rPr>
          <w:rFonts w:ascii="Calibri" w:hAnsi="Calibri" w:cs="Calibri"/>
        </w:rPr>
        <w:t>es cartes correspondent à différentes actions : Réaliser, Valider, S’approprier, Analyser, Communiquer, Mimer et Résoudre un problème</w:t>
      </w:r>
      <w:r>
        <w:rPr>
          <w:rFonts w:ascii="Calibri" w:hAnsi="Calibri" w:cs="Calibri"/>
        </w:rPr>
        <w:t xml:space="preserve"> et p</w:t>
      </w:r>
      <w:r w:rsidRPr="004D7071">
        <w:rPr>
          <w:rFonts w:ascii="Calibri" w:hAnsi="Calibri" w:cs="Calibri"/>
        </w:rPr>
        <w:t>lusieurs niveaux de difficultés sont proposés selon les cartes.</w:t>
      </w:r>
      <w:r>
        <w:rPr>
          <w:rFonts w:ascii="Calibri" w:hAnsi="Calibri" w:cs="Calibri"/>
        </w:rPr>
        <w:t xml:space="preserve"> Ce jeu permet donc aux élèves de s’approprier les compétences de la démarche scientifique et de travailler la compétence COMMUNIQUER par les échanges entre pairs, surtout en mode </w:t>
      </w:r>
      <w:r w:rsidR="00913F6A">
        <w:rPr>
          <w:rFonts w:ascii="Calibri" w:hAnsi="Calibri" w:cs="Calibri"/>
        </w:rPr>
        <w:t>de jeu « </w:t>
      </w:r>
      <w:r>
        <w:rPr>
          <w:rFonts w:ascii="Calibri" w:hAnsi="Calibri" w:cs="Calibri"/>
        </w:rPr>
        <w:t>par équipe</w:t>
      </w:r>
      <w:r w:rsidR="00913F6A">
        <w:rPr>
          <w:rFonts w:ascii="Calibri" w:hAnsi="Calibri" w:cs="Calibri"/>
        </w:rPr>
        <w:t> »</w:t>
      </w:r>
      <w:r>
        <w:rPr>
          <w:rFonts w:ascii="Calibri" w:hAnsi="Calibri" w:cs="Calibri"/>
        </w:rPr>
        <w:t xml:space="preserve">. </w:t>
      </w:r>
    </w:p>
    <w:p w:rsidRPr="00F72F46" w:rsidR="00F72F46" w:rsidP="00F72F46" w:rsidRDefault="00F72F46" w14:paraId="27BE9697" w14:textId="77777777">
      <w:pPr>
        <w:spacing w:line="257" w:lineRule="auto"/>
        <w:rPr>
          <w:rFonts w:ascii="Calibri" w:hAnsi="Calibri" w:cs="Calibri"/>
          <w:sz w:val="2"/>
          <w:szCs w:val="2"/>
        </w:rPr>
      </w:pPr>
    </w:p>
    <w:p w:rsidR="00F72F46" w:rsidP="00F72F46" w:rsidRDefault="00F72F46" w14:paraId="4A98114D" w14:textId="77777777">
      <w:pPr>
        <w:jc w:val="center"/>
        <w:rPr>
          <w:rFonts w:ascii="Agency FB" w:hAnsi="Agency FB" w:eastAsia="Agency FB" w:cs="Agency FB"/>
          <w:sz w:val="32"/>
          <w:szCs w:val="32"/>
        </w:rPr>
      </w:pPr>
      <w:r w:rsidRPr="0BCE2295">
        <w:rPr>
          <w:rFonts w:ascii="Agency FB" w:hAnsi="Agency FB" w:eastAsia="Agency FB" w:cs="Agency FB"/>
          <w:b/>
          <w:bCs/>
          <w:color w:val="000000" w:themeColor="text1"/>
          <w:sz w:val="32"/>
          <w:szCs w:val="32"/>
        </w:rPr>
        <w:t>Quelles modalités en classe ?</w:t>
      </w:r>
    </w:p>
    <w:p w:rsidR="00913F6A" w:rsidP="00913F6A" w:rsidRDefault="00F72F46" w14:paraId="6BFC06B0" w14:textId="77777777">
      <w:pPr>
        <w:spacing w:line="257" w:lineRule="auto"/>
        <w:rPr>
          <w:rFonts w:ascii="Calibri" w:hAnsi="Calibri" w:eastAsia="Calibri" w:cs="Calibri"/>
        </w:rPr>
      </w:pPr>
      <w:r w:rsidRPr="00F72F46">
        <w:rPr>
          <w:rFonts w:ascii="Calibri" w:hAnsi="Calibri" w:eastAsia="Calibri" w:cs="Calibri"/>
        </w:rPr>
        <w:t>Le jeu peut être fait en classe entière ou en demi-groupe, en 45 minutes</w:t>
      </w:r>
      <w:r>
        <w:rPr>
          <w:rFonts w:ascii="Calibri" w:hAnsi="Calibri" w:eastAsia="Calibri" w:cs="Calibri"/>
        </w:rPr>
        <w:t xml:space="preserve"> environ</w:t>
      </w:r>
      <w:r w:rsidRPr="00F72F46">
        <w:rPr>
          <w:rFonts w:ascii="Calibri" w:hAnsi="Calibri" w:eastAsia="Calibri" w:cs="Calibri"/>
        </w:rPr>
        <w:t>.</w:t>
      </w:r>
    </w:p>
    <w:p w:rsidRPr="004D7071" w:rsidR="000706C5" w:rsidP="00913F6A" w:rsidRDefault="000706C5" w14:paraId="06CEE867" w14:textId="34278A93">
      <w:pPr>
        <w:spacing w:line="257" w:lineRule="auto"/>
        <w:rPr>
          <w:rFonts w:ascii="Calibri" w:hAnsi="Calibri" w:cs="Calibri"/>
        </w:rPr>
      </w:pPr>
      <w:r>
        <w:rPr>
          <w:rFonts w:ascii="Calibri" w:hAnsi="Calibri" w:cs="Calibri"/>
        </w:rPr>
        <w:t>En fin de séquence</w:t>
      </w:r>
      <w:r w:rsidRPr="004D7071">
        <w:rPr>
          <w:rFonts w:ascii="Calibri" w:hAnsi="Calibri" w:cs="Calibri"/>
        </w:rPr>
        <w:t>, on peut prendre le temps de discuter des questions rencontrées pendant le jeu, de récapituler les principaux points qui ont pu poser problème aux élèves ou résumer le concept de dilution.</w:t>
      </w:r>
    </w:p>
    <w:p w:rsidRPr="00F72F46" w:rsidR="000706C5" w:rsidP="004D7071" w:rsidRDefault="000706C5" w14:paraId="170B72FC" w14:textId="77777777">
      <w:pPr>
        <w:spacing w:after="0" w:line="240" w:lineRule="auto"/>
        <w:rPr>
          <w:rFonts w:ascii="Calibri" w:hAnsi="Calibri" w:cs="Calibri"/>
          <w:sz w:val="10"/>
          <w:szCs w:val="10"/>
        </w:rPr>
      </w:pPr>
    </w:p>
    <w:p w:rsidRPr="000706C5" w:rsidR="000706C5" w:rsidP="004D7071" w:rsidRDefault="000706C5" w14:paraId="14DA01D8" w14:textId="203ACD9B">
      <w:pPr>
        <w:spacing w:after="0" w:line="240" w:lineRule="auto"/>
        <w:rPr>
          <w:rFonts w:ascii="Calibri" w:hAnsi="Calibri" w:cs="Calibri"/>
          <w:b/>
          <w:bCs/>
        </w:rPr>
      </w:pPr>
      <w:r w:rsidRPr="000706C5">
        <w:rPr>
          <w:rFonts w:ascii="Calibri" w:hAnsi="Calibri" w:cs="Calibri"/>
          <w:b/>
          <w:bCs/>
        </w:rPr>
        <w:t>Pour aller plus loin …</w:t>
      </w:r>
    </w:p>
    <w:p w:rsidR="000706C5" w:rsidP="004D7071" w:rsidRDefault="004D7071" w14:paraId="7AEE0AA1" w14:textId="77777777">
      <w:pPr>
        <w:spacing w:after="0" w:line="240" w:lineRule="auto"/>
        <w:rPr>
          <w:rFonts w:ascii="Calibri" w:hAnsi="Calibri" w:cs="Calibri"/>
        </w:rPr>
      </w:pPr>
      <w:r w:rsidRPr="004D7071">
        <w:rPr>
          <w:rFonts w:ascii="Calibri" w:hAnsi="Calibri" w:cs="Calibri"/>
        </w:rPr>
        <w:t xml:space="preserve">Vous pouvez </w:t>
      </w:r>
      <w:r w:rsidR="000706C5">
        <w:rPr>
          <w:rFonts w:ascii="Calibri" w:hAnsi="Calibri" w:cs="Calibri"/>
        </w:rPr>
        <w:t xml:space="preserve">différencier et </w:t>
      </w:r>
      <w:r w:rsidRPr="004D7071">
        <w:rPr>
          <w:rFonts w:ascii="Calibri" w:hAnsi="Calibri" w:cs="Calibri"/>
        </w:rPr>
        <w:t>varier le niveau de difficulté des questions en fonction des connaissances des joueurs et de leurs compétences en chimie</w:t>
      </w:r>
      <w:r w:rsidR="000706C5">
        <w:rPr>
          <w:rFonts w:ascii="Calibri" w:hAnsi="Calibri" w:cs="Calibri"/>
        </w:rPr>
        <w:t xml:space="preserve">. </w:t>
      </w:r>
    </w:p>
    <w:p w:rsidRPr="00913F6A" w:rsidR="00417ABB" w:rsidP="00913F6A" w:rsidRDefault="000706C5" w14:paraId="54C18FEC" w14:textId="16959C0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</w:t>
      </w:r>
      <w:r w:rsidRPr="004D7071" w:rsidR="004D7071">
        <w:rPr>
          <w:rFonts w:ascii="Calibri" w:hAnsi="Calibri" w:cs="Calibri"/>
        </w:rPr>
        <w:t xml:space="preserve">aire réaliser de nouvelles cartes aux élèves </w:t>
      </w:r>
      <w:r w:rsidRPr="004D7071">
        <w:rPr>
          <w:rFonts w:ascii="Calibri" w:hAnsi="Calibri" w:cs="Calibri"/>
        </w:rPr>
        <w:t xml:space="preserve">peut être </w:t>
      </w:r>
      <w:r>
        <w:rPr>
          <w:rFonts w:ascii="Calibri" w:hAnsi="Calibri" w:cs="Calibri"/>
        </w:rPr>
        <w:t>pertinen</w:t>
      </w:r>
      <w:r w:rsidRPr="004D7071">
        <w:rPr>
          <w:rFonts w:ascii="Calibri" w:hAnsi="Calibri" w:cs="Calibri"/>
        </w:rPr>
        <w:t xml:space="preserve">t </w:t>
      </w:r>
      <w:r w:rsidRPr="004D7071" w:rsidR="004D7071">
        <w:rPr>
          <w:rFonts w:ascii="Calibri" w:hAnsi="Calibri" w:cs="Calibri"/>
        </w:rPr>
        <w:t>pour qu’ils s’approprient davantage le jeu</w:t>
      </w:r>
      <w:r w:rsidR="00913F6A">
        <w:rPr>
          <w:rFonts w:ascii="Calibri" w:hAnsi="Calibri" w:cs="Calibri"/>
        </w:rPr>
        <w:t xml:space="preserve"> et engage les élèves dans une démarche de métacognition. </w:t>
      </w:r>
    </w:p>
    <w:sectPr w:rsidRPr="00913F6A" w:rsidR="00417ABB" w:rsidSect="00913F6A">
      <w:headerReference w:type="default" r:id="rId10"/>
      <w:pgSz w:w="11906" w:h="16838" w:orient="portrait"/>
      <w:pgMar w:top="1440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753F4" w:rsidP="003C4F8D" w:rsidRDefault="007753F4" w14:paraId="14556429" w14:textId="77777777">
      <w:pPr>
        <w:spacing w:after="0" w:line="240" w:lineRule="auto"/>
      </w:pPr>
      <w:r>
        <w:separator/>
      </w:r>
    </w:p>
  </w:endnote>
  <w:endnote w:type="continuationSeparator" w:id="0">
    <w:p w:rsidR="007753F4" w:rsidP="003C4F8D" w:rsidRDefault="007753F4" w14:paraId="59817A1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753F4" w:rsidP="003C4F8D" w:rsidRDefault="007753F4" w14:paraId="087D873B" w14:textId="77777777">
      <w:pPr>
        <w:spacing w:after="0" w:line="240" w:lineRule="auto"/>
      </w:pPr>
      <w:r>
        <w:separator/>
      </w:r>
    </w:p>
  </w:footnote>
  <w:footnote w:type="continuationSeparator" w:id="0">
    <w:p w:rsidR="007753F4" w:rsidP="003C4F8D" w:rsidRDefault="007753F4" w14:paraId="331DCFD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C4F8D" w:rsidP="00D928B5" w:rsidRDefault="00D928B5" w14:paraId="79DB2378" w14:textId="0DA0C6A7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F1A778" wp14:editId="327A9E55">
              <wp:simplePos x="0" y="0"/>
              <wp:positionH relativeFrom="column">
                <wp:posOffset>-739140</wp:posOffset>
              </wp:positionH>
              <wp:positionV relativeFrom="paragraph">
                <wp:posOffset>-388620</wp:posOffset>
              </wp:positionV>
              <wp:extent cx="3345180" cy="822960"/>
              <wp:effectExtent l="0" t="0" r="7620" b="0"/>
              <wp:wrapNone/>
              <wp:docPr id="125309318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5180" cy="8229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928B5" w:rsidRDefault="00D928B5" w14:paraId="4BD629FC" w14:textId="0040BAC3">
                          <w:r w:rsidRPr="00D928B5">
                            <w:rPr>
                              <w:noProof/>
                            </w:rPr>
                            <w:drawing>
                              <wp:inline distT="0" distB="0" distL="0" distR="0" wp14:anchorId="4E4968A9" wp14:editId="01E19D59">
                                <wp:extent cx="3053715" cy="739015"/>
                                <wp:effectExtent l="0" t="0" r="0" b="4445"/>
                                <wp:docPr id="2" name="Image 2" descr="Une image contenant texte, Police, capture d’écran, blanc&#10;&#10;Description générée automatiquem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39895265" name="Image 1" descr="Une image contenant texte, Police, capture d’écran, blanc&#10;&#10;Description générée automatiquement"/>
                                        <pic:cNvPicPr/>
                                      </pic:nvPicPr>
                                      <pic:blipFill rotWithShape="1">
                                        <a:blip r:embed="rId1"/>
                                        <a:srcRect t="9348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66501" cy="742109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BF1A778">
              <v:stroke joinstyle="miter"/>
              <v:path gradientshapeok="t" o:connecttype="rect"/>
            </v:shapetype>
            <v:shape id="Zone de texte 1" style="position:absolute;margin-left:-58.2pt;margin-top:-30.6pt;width:263.4pt;height:6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">
              <v:textbox>
                <w:txbxContent>
                  <w:p w:rsidR="00D928B5" w:rsidRDefault="00D928B5" w14:paraId="4BD629FC" w14:textId="0040BAC3">
                    <w:r w:rsidRPr="00D928B5">
                      <w:rPr>
                        <w:noProof/>
                      </w:rPr>
                      <w:drawing>
                        <wp:inline distT="0" distB="0" distL="0" distR="0" wp14:anchorId="4E4968A9" wp14:editId="01E19D59">
                          <wp:extent cx="3053715" cy="739015"/>
                          <wp:effectExtent l="0" t="0" r="0" b="4445"/>
                          <wp:docPr id="2" name="Image 2" descr="Une image contenant texte, Police, capture d’écran, blanc&#10;&#10;Description générée automatiquem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39895265" name="Image 1" descr="Une image contenant texte, Police, capture d’écran, blanc&#10;&#10;Description générée automatiquement"/>
                                  <pic:cNvPicPr/>
                                </pic:nvPicPr>
                                <pic:blipFill rotWithShape="1">
                                  <a:blip r:embed="rId2"/>
                                  <a:srcRect t="9348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3066501" cy="742109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31439"/>
    <w:multiLevelType w:val="hybridMultilevel"/>
    <w:tmpl w:val="FF946D04"/>
    <w:lvl w:ilvl="0" w:tplc="7CC89D8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071899"/>
    <w:rsid w:val="0000455A"/>
    <w:rsid w:val="000706C5"/>
    <w:rsid w:val="0010615F"/>
    <w:rsid w:val="001305EC"/>
    <w:rsid w:val="00284429"/>
    <w:rsid w:val="003C4F8D"/>
    <w:rsid w:val="004017CA"/>
    <w:rsid w:val="00417ABB"/>
    <w:rsid w:val="004D7071"/>
    <w:rsid w:val="00630BE8"/>
    <w:rsid w:val="007753F4"/>
    <w:rsid w:val="00845B47"/>
    <w:rsid w:val="0086445D"/>
    <w:rsid w:val="00887ADA"/>
    <w:rsid w:val="00905132"/>
    <w:rsid w:val="00913F6A"/>
    <w:rsid w:val="00B018B6"/>
    <w:rsid w:val="00B41CB3"/>
    <w:rsid w:val="00D928B5"/>
    <w:rsid w:val="00DB2B91"/>
    <w:rsid w:val="00DE22F2"/>
    <w:rsid w:val="00F72F46"/>
    <w:rsid w:val="00F772F5"/>
    <w:rsid w:val="211F362F"/>
    <w:rsid w:val="30318C0A"/>
    <w:rsid w:val="37868865"/>
    <w:rsid w:val="5579881D"/>
    <w:rsid w:val="5FB3155C"/>
    <w:rsid w:val="63071899"/>
    <w:rsid w:val="775BD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071899"/>
  <w15:chartTrackingRefBased/>
  <w15:docId w15:val="{DDCFBE4D-C683-473A-B3BE-1826B374D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En-tte">
    <w:name w:val="header"/>
    <w:basedOn w:val="Normal"/>
    <w:link w:val="En-tteCar"/>
    <w:uiPriority w:val="99"/>
    <w:unhideWhenUsed/>
    <w:rsid w:val="003C4F8D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3C4F8D"/>
  </w:style>
  <w:style w:type="paragraph" w:styleId="Pieddepage">
    <w:name w:val="footer"/>
    <w:basedOn w:val="Normal"/>
    <w:link w:val="PieddepageCar"/>
    <w:uiPriority w:val="99"/>
    <w:unhideWhenUsed/>
    <w:rsid w:val="003C4F8D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3C4F8D"/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72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08EA488BA9CA4DBDAF9F21D5425367" ma:contentTypeVersion="15" ma:contentTypeDescription="Crée un document." ma:contentTypeScope="" ma:versionID="871b13cc49d341ec63780757cba957aa">
  <xsd:schema xmlns:xsd="http://www.w3.org/2001/XMLSchema" xmlns:xs="http://www.w3.org/2001/XMLSchema" xmlns:p="http://schemas.microsoft.com/office/2006/metadata/properties" xmlns:ns2="881744e1-6cc4-4364-bc5a-3efde3fc8953" xmlns:ns3="12598dbc-007d-4998-bcb6-2ed3d5020425" targetNamespace="http://schemas.microsoft.com/office/2006/metadata/properties" ma:root="true" ma:fieldsID="bb7a715f678e1ea34dd99e3eedfa7f12" ns2:_="" ns3:_="">
    <xsd:import namespace="881744e1-6cc4-4364-bc5a-3efde3fc8953"/>
    <xsd:import namespace="12598dbc-007d-4998-bcb6-2ed3d50204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744e1-6cc4-4364-bc5a-3efde3fc8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012f8fb1-763d-4eee-8e7f-0e5339ba90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98dbc-007d-4998-bcb6-2ed3d502042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1a1723e-635d-4772-bbb0-99bee886daa3}" ma:internalName="TaxCatchAll" ma:showField="CatchAllData" ma:web="12598dbc-007d-4998-bcb6-2ed3d50204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1744e1-6cc4-4364-bc5a-3efde3fc8953">
      <Terms xmlns="http://schemas.microsoft.com/office/infopath/2007/PartnerControls"/>
    </lcf76f155ced4ddcb4097134ff3c332f>
    <TaxCatchAll xmlns="12598dbc-007d-4998-bcb6-2ed3d5020425" xsi:nil="true"/>
  </documentManagement>
</p:properties>
</file>

<file path=customXml/itemProps1.xml><?xml version="1.0" encoding="utf-8"?>
<ds:datastoreItem xmlns:ds="http://schemas.openxmlformats.org/officeDocument/2006/customXml" ds:itemID="{95E8F4F3-6097-44E9-8F77-4C3D3AC510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256C2F-E5BD-470D-8AA1-AB0311EF413A}"/>
</file>

<file path=customXml/itemProps3.xml><?xml version="1.0" encoding="utf-8"?>
<ds:datastoreItem xmlns:ds="http://schemas.openxmlformats.org/officeDocument/2006/customXml" ds:itemID="{EB67528D-1D68-476F-9DAF-2200F105BEE2}">
  <ds:schemaRefs>
    <ds:schemaRef ds:uri="http://schemas.microsoft.com/office/2006/metadata/properties"/>
    <ds:schemaRef ds:uri="http://schemas.microsoft.com/office/infopath/2007/PartnerControls"/>
    <ds:schemaRef ds:uri="881744e1-6cc4-4364-bc5a-3efde3fc8953"/>
    <ds:schemaRef ds:uri="12598dbc-007d-4998-bcb6-2ed3d502042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Lamarque Sandrine</dc:creator>
  <cp:keywords/>
  <dc:description/>
  <cp:lastModifiedBy>Emmanuelle Laage</cp:lastModifiedBy>
  <cp:revision>5</cp:revision>
  <dcterms:created xsi:type="dcterms:W3CDTF">2025-05-11T18:26:00Z</dcterms:created>
  <dcterms:modified xsi:type="dcterms:W3CDTF">2025-11-17T10:25:36Z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0x0101001808EA488BA9CA4DBDAF9F21D5425367</vt:lpwstr>
  </property>
  <property fmtid="{D5CDD505-2E9C-101B-9397-08002B2CF9AE}" pid="3" name="MediaServiceImageTags">
    <vt:lpwstr/>
  </property>
</Properties>
</file>